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ITENS)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04</w:t>
      </w:r>
      <w:r>
        <w:rPr>
          <w:rFonts w:ascii="Times New Roman" w:hAnsi="Times New Roman" w:cs="Times New Roman"/>
          <w:b/>
          <w:sz w:val="24"/>
          <w:szCs w:val="24"/>
        </w:rPr>
        <w:t>/202</w:t>
      </w:r>
      <w:r>
        <w:rPr>
          <w:rFonts w:hint="default" w:ascii="Times New Roman" w:hAnsi="Times New Roman" w:cs="Times New Roman"/>
          <w:b/>
          <w:sz w:val="24"/>
          <w:szCs w:val="24"/>
          <w:lang w:val="pt-BR"/>
        </w:rPr>
        <w:t>6</w:t>
      </w:r>
      <w:r>
        <w:rPr>
          <w:rFonts w:ascii="Times New Roman" w:hAnsi="Times New Roman" w:cs="Times New Roman"/>
          <w:b/>
          <w:sz w:val="24"/>
          <w:szCs w:val="24"/>
        </w:rPr>
        <w:t>/FMS – 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0D5656C5">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Futura aquisição de Veículos para Secretaria Municipal de Saúde.</w:t>
      </w:r>
    </w:p>
    <w:p w14:paraId="478EE35E">
      <w:pPr>
        <w:pStyle w:val="77"/>
        <w:spacing w:line="360" w:lineRule="auto"/>
        <w:jc w:val="both"/>
        <w:rPr>
          <w:rFonts w:ascii="Times New Roman" w:hAnsi="Times New Roman" w:cs="Times New Roman"/>
          <w:sz w:val="24"/>
          <w:szCs w:val="24"/>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R$ </w:t>
      </w:r>
      <w:r>
        <w:rPr>
          <w:rFonts w:eastAsia="SimSun"/>
          <w:b/>
          <w:color w:val="000000"/>
          <w:sz w:val="24"/>
          <w:szCs w:val="24"/>
          <w:lang w:eastAsia="zh-CN" w:bidi="ar"/>
        </w:rPr>
        <w:t>544.604,26</w:t>
      </w:r>
      <w:r>
        <w:rPr>
          <w:b/>
          <w:bCs/>
          <w:color w:val="000000" w:themeColor="text1"/>
          <w:sz w:val="24"/>
          <w:szCs w:val="24"/>
          <w14:textFill>
            <w14:solidFill>
              <w14:schemeClr w14:val="tx1"/>
            </w14:solidFill>
          </w14:textFill>
        </w:rPr>
        <w:t xml:space="preserve"> (quinhentos e quarenta e quatro mil, seiscentos e quatro reais e vinte e seis centavos)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23</w:t>
      </w:r>
      <w:r>
        <w:rPr>
          <w:color w:val="000000" w:themeColor="text1"/>
          <w:sz w:val="24"/>
          <w:szCs w:val="24"/>
          <w14:textFill>
            <w14:solidFill>
              <w14:schemeClr w14:val="tx1"/>
            </w14:solidFill>
          </w14:textFill>
        </w:rPr>
        <w:t>/</w:t>
      </w:r>
      <w:r>
        <w:rPr>
          <w:rFonts w:hint="default"/>
          <w:color w:val="000000" w:themeColor="text1"/>
          <w:sz w:val="24"/>
          <w:szCs w:val="24"/>
          <w:lang w:val="pt-BR"/>
          <w14:textFill>
            <w14:solidFill>
              <w14:schemeClr w14:val="tx1"/>
            </w14:solidFill>
          </w14:textFill>
        </w:rPr>
        <w:t>02</w:t>
      </w:r>
      <w:r>
        <w:rPr>
          <w:color w:val="000000" w:themeColor="text1"/>
          <w:sz w:val="24"/>
          <w:szCs w:val="24"/>
          <w14:textFill>
            <w14:solidFill>
              <w14:schemeClr w14:val="tx1"/>
            </w14:solidFill>
          </w14:textFill>
        </w:rPr>
        <w:t>/202</w:t>
      </w:r>
      <w:r>
        <w:rPr>
          <w:rFonts w:hint="default"/>
          <w:color w:val="000000" w:themeColor="text1"/>
          <w:sz w:val="24"/>
          <w:szCs w:val="24"/>
          <w:lang w:val="pt-BR"/>
          <w14:textFill>
            <w14:solidFill>
              <w14:schemeClr w14:val="tx1"/>
            </w14:solidFill>
          </w14:textFill>
        </w:rPr>
        <w:t>6</w:t>
      </w:r>
      <w:r>
        <w:rPr>
          <w:color w:val="000000" w:themeColor="text1"/>
          <w:sz w:val="24"/>
          <w:szCs w:val="24"/>
          <w14:textFill>
            <w14:solidFill>
              <w14:schemeClr w14:val="tx1"/>
            </w14:solidFill>
          </w14:textFill>
        </w:rPr>
        <w:t xml:space="preserve"> às </w:t>
      </w:r>
      <w:r>
        <w:rPr>
          <w:rFonts w:hint="default"/>
          <w:color w:val="000000" w:themeColor="text1"/>
          <w:sz w:val="24"/>
          <w:szCs w:val="24"/>
          <w:lang w:val="pt-BR"/>
          <w14:textFill>
            <w14:solidFill>
              <w14:schemeClr w14:val="tx1"/>
            </w14:solidFill>
          </w14:textFill>
        </w:rPr>
        <w:t>10</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MENOR PREÇO POR ITEM</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04</w:t>
      </w:r>
      <w:r>
        <w:rPr>
          <w:b/>
          <w:color w:val="000000" w:themeColor="text1"/>
          <w:sz w:val="24"/>
          <w:szCs w:val="24"/>
          <w14:textFill>
            <w14:solidFill>
              <w14:schemeClr w14:val="tx1"/>
            </w14:solidFill>
          </w14:textFill>
        </w:rPr>
        <w:t>/202</w:t>
      </w:r>
      <w:r>
        <w:rPr>
          <w:rFonts w:hint="default"/>
          <w:b/>
          <w:color w:val="000000" w:themeColor="text1"/>
          <w:sz w:val="24"/>
          <w:szCs w:val="24"/>
          <w:lang w:val="pt-BR"/>
          <w14:textFill>
            <w14:solidFill>
              <w14:schemeClr w14:val="tx1"/>
            </w14:solidFill>
          </w14:textFill>
        </w:rPr>
        <w:t>6</w:t>
      </w:r>
      <w:r>
        <w:rPr>
          <w:b/>
          <w:color w:val="000000" w:themeColor="text1"/>
          <w:sz w:val="24"/>
          <w:szCs w:val="24"/>
          <w14:textFill>
            <w14:solidFill>
              <w14:schemeClr w14:val="tx1"/>
            </w14:solidFill>
          </w14:textFill>
        </w:rPr>
        <w:t>/FMS</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w:t>
      </w:r>
      <w:r>
        <w:rPr>
          <w:sz w:val="24"/>
          <w:szCs w:val="24"/>
        </w:rPr>
        <w:t>020508/000987/2025</w:t>
      </w:r>
      <w:r>
        <w:rPr>
          <w:color w:val="000000" w:themeColor="text1"/>
          <w:sz w:val="24"/>
          <w:szCs w:val="24"/>
          <w14:textFill>
            <w14:solidFill>
              <w14:schemeClr w14:val="tx1"/>
            </w14:solidFill>
          </w14:textFill>
        </w:rPr>
        <w:t xml:space="preserve">,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cs="Times New Roman"/>
          <w:sz w:val="24"/>
          <w:szCs w:val="24"/>
        </w:rPr>
      </w:pPr>
      <w:r>
        <w:rPr>
          <w:rFonts w:ascii="Times New Roman" w:hAnsi="Times New Roman" w:eastAsia="Cambria Math" w:cs="Times New Roman"/>
          <w:sz w:val="24"/>
          <w:szCs w:val="24"/>
        </w:rPr>
        <w:t xml:space="preserve">1.1 </w:t>
      </w:r>
      <w:r>
        <w:rPr>
          <w:rFonts w:ascii="Times New Roman" w:hAnsi="Times New Roman" w:cs="Times New Roman"/>
          <w:sz w:val="24"/>
          <w:szCs w:val="24"/>
        </w:rPr>
        <w:t>Futura aquisição de Veículos para Secretaria Municipal de Saúde.</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itens, conforme tabela abaixo.</w:t>
      </w:r>
    </w:p>
    <w:p w14:paraId="747FDEE7">
      <w:pPr>
        <w:jc w:val="center"/>
        <w:rPr>
          <w:b/>
          <w:sz w:val="24"/>
          <w:szCs w:val="24"/>
        </w:rPr>
      </w:pPr>
    </w:p>
    <w:tbl>
      <w:tblPr>
        <w:tblStyle w:val="37"/>
        <w:tblpPr w:leftFromText="180" w:rightFromText="180" w:vertAnchor="text" w:horzAnchor="page" w:tblpX="621" w:tblpY="495"/>
        <w:tblOverlap w:val="never"/>
        <w:tblW w:w="11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93"/>
        <w:gridCol w:w="1701"/>
        <w:gridCol w:w="3685"/>
        <w:gridCol w:w="1559"/>
        <w:gridCol w:w="1961"/>
      </w:tblGrid>
      <w:tr w14:paraId="5A97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689726F9">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ITEM</w:t>
            </w:r>
          </w:p>
        </w:tc>
        <w:tc>
          <w:tcPr>
            <w:tcW w:w="993" w:type="dxa"/>
            <w:shd w:val="clear" w:color="auto" w:fill="auto"/>
          </w:tcPr>
          <w:p w14:paraId="09BEFD65">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UNID/QUANT.</w:t>
            </w:r>
          </w:p>
        </w:tc>
        <w:tc>
          <w:tcPr>
            <w:tcW w:w="1701" w:type="dxa"/>
            <w:shd w:val="clear" w:color="auto" w:fill="auto"/>
          </w:tcPr>
          <w:p w14:paraId="7F0BC47C">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DESCRIÇÃO</w:t>
            </w:r>
          </w:p>
        </w:tc>
        <w:tc>
          <w:tcPr>
            <w:tcW w:w="3685" w:type="dxa"/>
            <w:shd w:val="clear" w:color="auto" w:fill="auto"/>
          </w:tcPr>
          <w:p w14:paraId="017DBD1D">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ESPECIFICAÇÃO</w:t>
            </w:r>
          </w:p>
        </w:tc>
        <w:tc>
          <w:tcPr>
            <w:tcW w:w="1559" w:type="dxa"/>
          </w:tcPr>
          <w:p w14:paraId="4FCCC2F2">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UNITÁRIO</w:t>
            </w:r>
          </w:p>
        </w:tc>
        <w:tc>
          <w:tcPr>
            <w:tcW w:w="1961" w:type="dxa"/>
          </w:tcPr>
          <w:p w14:paraId="7D5FADB4">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TOTAL</w:t>
            </w:r>
          </w:p>
        </w:tc>
      </w:tr>
      <w:tr w14:paraId="4EFE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438BF785">
            <w:pPr>
              <w:jc w:val="center"/>
              <w:rPr>
                <w:rFonts w:ascii="Times New Roman" w:hAnsi="Times New Roman" w:eastAsia="SimSun" w:cs="Times New Roman"/>
                <w:kern w:val="3"/>
                <w:sz w:val="24"/>
                <w:szCs w:val="24"/>
                <w:lang w:eastAsia="en-US" w:bidi="hi-IN"/>
              </w:rPr>
            </w:pPr>
          </w:p>
          <w:p w14:paraId="16508F2C">
            <w:pPr>
              <w:jc w:val="center"/>
              <w:rPr>
                <w:rFonts w:ascii="Times New Roman" w:hAnsi="Times New Roman" w:eastAsia="SimSun" w:cs="Times New Roman"/>
                <w:kern w:val="3"/>
                <w:sz w:val="24"/>
                <w:szCs w:val="24"/>
                <w:lang w:eastAsia="en-US" w:bidi="hi-IN"/>
              </w:rPr>
            </w:pPr>
          </w:p>
          <w:p w14:paraId="32A055F7">
            <w:pPr>
              <w:jc w:val="center"/>
              <w:rPr>
                <w:rFonts w:ascii="Times New Roman" w:hAnsi="Times New Roman" w:eastAsia="SimSun" w:cs="Times New Roman"/>
                <w:kern w:val="3"/>
                <w:sz w:val="24"/>
                <w:szCs w:val="24"/>
                <w:lang w:eastAsia="en-US" w:bidi="hi-IN"/>
              </w:rPr>
            </w:pPr>
          </w:p>
          <w:p w14:paraId="59E67FD0">
            <w:pPr>
              <w:jc w:val="center"/>
              <w:rPr>
                <w:rFonts w:ascii="Times New Roman" w:hAnsi="Times New Roman" w:eastAsia="SimSun" w:cs="Times New Roman"/>
                <w:kern w:val="3"/>
                <w:sz w:val="24"/>
                <w:szCs w:val="24"/>
                <w:lang w:eastAsia="en-US" w:bidi="hi-IN"/>
              </w:rPr>
            </w:pPr>
          </w:p>
          <w:p w14:paraId="4F50D372">
            <w:pPr>
              <w:jc w:val="center"/>
              <w:rPr>
                <w:rFonts w:ascii="Times New Roman" w:hAnsi="Times New Roman" w:eastAsia="SimSun" w:cs="Times New Roman"/>
                <w:kern w:val="3"/>
                <w:sz w:val="24"/>
                <w:szCs w:val="24"/>
                <w:lang w:eastAsia="en-US" w:bidi="hi-IN"/>
              </w:rPr>
            </w:pPr>
          </w:p>
          <w:p w14:paraId="05FC4502">
            <w:pPr>
              <w:jc w:val="center"/>
              <w:rPr>
                <w:rFonts w:ascii="Times New Roman" w:hAnsi="Times New Roman" w:eastAsia="SimSun" w:cs="Times New Roman"/>
                <w:kern w:val="3"/>
                <w:sz w:val="24"/>
                <w:szCs w:val="24"/>
                <w:lang w:eastAsia="en-US" w:bidi="hi-IN"/>
              </w:rPr>
            </w:pPr>
          </w:p>
          <w:p w14:paraId="3952AA0B">
            <w:pPr>
              <w:jc w:val="center"/>
              <w:rPr>
                <w:rFonts w:ascii="Times New Roman" w:hAnsi="Times New Roman" w:eastAsia="SimSun" w:cs="Times New Roman"/>
                <w:kern w:val="3"/>
                <w:sz w:val="24"/>
                <w:szCs w:val="24"/>
                <w:lang w:eastAsia="en-US" w:bidi="hi-IN"/>
              </w:rPr>
            </w:pPr>
          </w:p>
          <w:p w14:paraId="197E2A11">
            <w:pPr>
              <w:jc w:val="center"/>
              <w:rPr>
                <w:rFonts w:ascii="Times New Roman" w:hAnsi="Times New Roman" w:eastAsia="SimSun" w:cs="Times New Roman"/>
                <w:kern w:val="3"/>
                <w:sz w:val="24"/>
                <w:szCs w:val="24"/>
                <w:lang w:eastAsia="en-US" w:bidi="hi-IN"/>
              </w:rPr>
            </w:pPr>
          </w:p>
          <w:p w14:paraId="419F1AA3">
            <w:pPr>
              <w:jc w:val="center"/>
              <w:rPr>
                <w:rFonts w:ascii="Times New Roman" w:hAnsi="Times New Roman" w:eastAsia="SimSun" w:cs="Times New Roman"/>
                <w:kern w:val="3"/>
                <w:sz w:val="24"/>
                <w:szCs w:val="24"/>
                <w:lang w:eastAsia="en-US" w:bidi="hi-IN"/>
              </w:rPr>
            </w:pPr>
          </w:p>
          <w:p w14:paraId="49DAEDEF">
            <w:pPr>
              <w:jc w:val="center"/>
              <w:rPr>
                <w:rFonts w:ascii="Times New Roman" w:hAnsi="Times New Roman" w:eastAsia="SimSun" w:cs="Times New Roman"/>
                <w:kern w:val="3"/>
                <w:sz w:val="24"/>
                <w:szCs w:val="24"/>
                <w:lang w:eastAsia="en-US" w:bidi="hi-IN"/>
              </w:rPr>
            </w:pPr>
          </w:p>
          <w:p w14:paraId="1D1E3A4C">
            <w:pPr>
              <w:jc w:val="center"/>
              <w:rPr>
                <w:rFonts w:ascii="Times New Roman" w:hAnsi="Times New Roman" w:eastAsia="SimSun" w:cs="Times New Roman"/>
                <w:kern w:val="3"/>
                <w:sz w:val="24"/>
                <w:szCs w:val="24"/>
                <w:lang w:eastAsia="en-US" w:bidi="hi-IN"/>
              </w:rPr>
            </w:pPr>
          </w:p>
          <w:p w14:paraId="219E5D67">
            <w:pPr>
              <w:jc w:val="center"/>
              <w:rPr>
                <w:rFonts w:ascii="Times New Roman" w:hAnsi="Times New Roman" w:eastAsia="SimSun" w:cs="Times New Roman"/>
                <w:kern w:val="3"/>
                <w:sz w:val="24"/>
                <w:szCs w:val="24"/>
                <w:lang w:eastAsia="en-US" w:bidi="hi-IN"/>
              </w:rPr>
            </w:pPr>
          </w:p>
          <w:p w14:paraId="29C6FF8F">
            <w:pPr>
              <w:jc w:val="center"/>
              <w:rPr>
                <w:rFonts w:ascii="Times New Roman" w:hAnsi="Times New Roman" w:eastAsia="SimSun" w:cs="Times New Roman"/>
                <w:kern w:val="3"/>
                <w:sz w:val="24"/>
                <w:szCs w:val="24"/>
                <w:lang w:eastAsia="en-US" w:bidi="hi-IN"/>
              </w:rPr>
            </w:pPr>
          </w:p>
          <w:p w14:paraId="13FE6BB9">
            <w:pPr>
              <w:jc w:val="center"/>
              <w:rPr>
                <w:rFonts w:ascii="Times New Roman" w:hAnsi="Times New Roman" w:eastAsia="SimSun" w:cs="Times New Roman"/>
                <w:kern w:val="3"/>
                <w:sz w:val="24"/>
                <w:szCs w:val="24"/>
                <w:lang w:eastAsia="en-US" w:bidi="hi-IN"/>
              </w:rPr>
            </w:pPr>
          </w:p>
          <w:p w14:paraId="12688B65">
            <w:pPr>
              <w:jc w:val="center"/>
              <w:rPr>
                <w:rFonts w:ascii="Times New Roman" w:hAnsi="Times New Roman" w:eastAsia="SimSun" w:cs="Times New Roman"/>
                <w:kern w:val="3"/>
                <w:sz w:val="24"/>
                <w:szCs w:val="24"/>
                <w:lang w:eastAsia="en-US" w:bidi="hi-IN"/>
              </w:rPr>
            </w:pPr>
          </w:p>
          <w:p w14:paraId="31A3DF15">
            <w:pPr>
              <w:jc w:val="center"/>
              <w:rPr>
                <w:rFonts w:ascii="Times New Roman" w:hAnsi="Times New Roman" w:eastAsia="SimSun" w:cs="Times New Roman"/>
                <w:kern w:val="3"/>
                <w:sz w:val="24"/>
                <w:szCs w:val="24"/>
                <w:lang w:eastAsia="en-US" w:bidi="hi-IN"/>
              </w:rPr>
            </w:pPr>
          </w:p>
          <w:p w14:paraId="278191C6">
            <w:pPr>
              <w:jc w:val="center"/>
              <w:rPr>
                <w:rFonts w:ascii="Times New Roman" w:hAnsi="Times New Roman" w:eastAsia="SimSun" w:cs="Times New Roman"/>
                <w:kern w:val="3"/>
                <w:sz w:val="24"/>
                <w:szCs w:val="24"/>
                <w:lang w:eastAsia="en-US" w:bidi="hi-IN"/>
              </w:rPr>
            </w:pPr>
          </w:p>
          <w:p w14:paraId="26FBF66C">
            <w:pPr>
              <w:jc w:val="center"/>
              <w:rPr>
                <w:rFonts w:ascii="Times New Roman" w:hAnsi="Times New Roman" w:eastAsia="SimSun" w:cs="Times New Roman"/>
                <w:kern w:val="3"/>
                <w:sz w:val="24"/>
                <w:szCs w:val="24"/>
                <w:lang w:eastAsia="en-US" w:bidi="hi-IN"/>
              </w:rPr>
            </w:pPr>
          </w:p>
          <w:p w14:paraId="2576ADEB">
            <w:pPr>
              <w:jc w:val="center"/>
              <w:rPr>
                <w:rFonts w:ascii="Times New Roman" w:hAnsi="Times New Roman" w:eastAsia="SimSun" w:cs="Times New Roman"/>
                <w:kern w:val="3"/>
                <w:sz w:val="24"/>
                <w:szCs w:val="24"/>
                <w:lang w:eastAsia="en-US" w:bidi="hi-IN"/>
              </w:rPr>
            </w:pPr>
          </w:p>
          <w:p w14:paraId="280C1083">
            <w:pPr>
              <w:jc w:val="center"/>
              <w:rPr>
                <w:rFonts w:ascii="Times New Roman" w:hAnsi="Times New Roman" w:eastAsia="SimSun" w:cs="Times New Roman"/>
                <w:kern w:val="3"/>
                <w:sz w:val="24"/>
                <w:szCs w:val="24"/>
                <w:lang w:eastAsia="en-US" w:bidi="hi-IN"/>
              </w:rPr>
            </w:pPr>
          </w:p>
          <w:p w14:paraId="2D2B0839">
            <w:pPr>
              <w:jc w:val="center"/>
              <w:rPr>
                <w:rFonts w:ascii="Times New Roman" w:hAnsi="Times New Roman" w:eastAsia="SimSun" w:cs="Times New Roman"/>
                <w:kern w:val="3"/>
                <w:sz w:val="24"/>
                <w:szCs w:val="24"/>
                <w:lang w:eastAsia="en-US" w:bidi="hi-IN"/>
              </w:rPr>
            </w:pPr>
          </w:p>
          <w:p w14:paraId="0B8C164E">
            <w:pPr>
              <w:jc w:val="center"/>
              <w:rPr>
                <w:rFonts w:ascii="Times New Roman" w:hAnsi="Times New Roman" w:eastAsia="SimSun" w:cs="Times New Roman"/>
                <w:kern w:val="3"/>
                <w:sz w:val="24"/>
                <w:szCs w:val="24"/>
                <w:lang w:eastAsia="en-US" w:bidi="hi-IN"/>
              </w:rPr>
            </w:pPr>
          </w:p>
          <w:p w14:paraId="628E1C46">
            <w:pPr>
              <w:jc w:val="center"/>
              <w:rPr>
                <w:rFonts w:ascii="Times New Roman" w:hAnsi="Times New Roman" w:eastAsia="SimSun" w:cs="Times New Roman"/>
                <w:kern w:val="3"/>
                <w:sz w:val="24"/>
                <w:szCs w:val="24"/>
                <w:lang w:eastAsia="en-US" w:bidi="hi-IN"/>
              </w:rPr>
            </w:pPr>
          </w:p>
          <w:p w14:paraId="22AD3930">
            <w:pPr>
              <w:jc w:val="center"/>
              <w:rPr>
                <w:rFonts w:ascii="Times New Roman" w:hAnsi="Times New Roman" w:eastAsia="SimSun" w:cs="Times New Roman"/>
                <w:kern w:val="3"/>
                <w:sz w:val="24"/>
                <w:szCs w:val="24"/>
                <w:lang w:eastAsia="en-US" w:bidi="hi-IN"/>
              </w:rPr>
            </w:pPr>
          </w:p>
          <w:p w14:paraId="516E9373">
            <w:pPr>
              <w:jc w:val="center"/>
              <w:rPr>
                <w:rFonts w:ascii="Times New Roman" w:hAnsi="Times New Roman" w:eastAsia="SimSun" w:cs="Times New Roman"/>
                <w:kern w:val="3"/>
                <w:sz w:val="24"/>
                <w:szCs w:val="24"/>
                <w:lang w:eastAsia="en-US" w:bidi="hi-IN"/>
              </w:rPr>
            </w:pPr>
          </w:p>
          <w:p w14:paraId="7FEF9972">
            <w:pPr>
              <w:jc w:val="center"/>
              <w:rPr>
                <w:rFonts w:ascii="Times New Roman" w:hAnsi="Times New Roman" w:eastAsia="SimSun" w:cs="Times New Roman"/>
                <w:kern w:val="3"/>
                <w:sz w:val="24"/>
                <w:szCs w:val="24"/>
                <w:lang w:eastAsia="en-US" w:bidi="hi-IN"/>
              </w:rPr>
            </w:pPr>
          </w:p>
          <w:p w14:paraId="2C2E490A">
            <w:pPr>
              <w:jc w:val="center"/>
              <w:rPr>
                <w:rFonts w:ascii="Times New Roman" w:hAnsi="Times New Roman" w:eastAsia="SimSun" w:cs="Times New Roman"/>
                <w:kern w:val="3"/>
                <w:sz w:val="24"/>
                <w:szCs w:val="24"/>
                <w:lang w:eastAsia="en-US" w:bidi="hi-IN"/>
              </w:rPr>
            </w:pPr>
          </w:p>
          <w:p w14:paraId="2435DBEC">
            <w:pPr>
              <w:jc w:val="center"/>
              <w:rPr>
                <w:rFonts w:ascii="Times New Roman" w:hAnsi="Times New Roman" w:eastAsia="SimSun" w:cs="Times New Roman"/>
                <w:kern w:val="3"/>
                <w:sz w:val="24"/>
                <w:szCs w:val="24"/>
                <w:lang w:eastAsia="en-US" w:bidi="hi-IN"/>
              </w:rPr>
            </w:pPr>
          </w:p>
          <w:p w14:paraId="422408D3">
            <w:pPr>
              <w:jc w:val="center"/>
              <w:rPr>
                <w:rFonts w:ascii="Times New Roman" w:hAnsi="Times New Roman" w:eastAsia="SimSun" w:cs="Times New Roman"/>
                <w:kern w:val="3"/>
                <w:sz w:val="24"/>
                <w:szCs w:val="24"/>
                <w:lang w:eastAsia="en-US" w:bidi="hi-IN"/>
              </w:rPr>
            </w:pPr>
          </w:p>
          <w:p w14:paraId="472AD1FF">
            <w:pPr>
              <w:jc w:val="center"/>
              <w:rPr>
                <w:rFonts w:ascii="Times New Roman" w:hAnsi="Times New Roman" w:eastAsia="SimSun" w:cs="Times New Roman"/>
                <w:kern w:val="3"/>
                <w:sz w:val="24"/>
                <w:szCs w:val="24"/>
                <w:lang w:eastAsia="en-US" w:bidi="hi-IN"/>
              </w:rPr>
            </w:pPr>
          </w:p>
          <w:p w14:paraId="0F3A2E97">
            <w:pPr>
              <w:jc w:val="center"/>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01</w:t>
            </w:r>
          </w:p>
        </w:tc>
        <w:tc>
          <w:tcPr>
            <w:tcW w:w="993" w:type="dxa"/>
            <w:shd w:val="clear" w:color="auto" w:fill="auto"/>
          </w:tcPr>
          <w:p w14:paraId="300CA6E0">
            <w:pPr>
              <w:jc w:val="center"/>
              <w:rPr>
                <w:rFonts w:ascii="Times New Roman" w:hAnsi="Times New Roman" w:cs="Times New Roman" w:eastAsiaTheme="minorHAnsi"/>
                <w:color w:val="000000"/>
                <w:sz w:val="24"/>
                <w:szCs w:val="24"/>
                <w:lang w:eastAsia="en-US"/>
              </w:rPr>
            </w:pPr>
          </w:p>
          <w:p w14:paraId="7B54BFE8">
            <w:pPr>
              <w:jc w:val="center"/>
              <w:rPr>
                <w:rFonts w:ascii="Times New Roman" w:hAnsi="Times New Roman" w:cs="Times New Roman" w:eastAsiaTheme="minorHAnsi"/>
                <w:color w:val="000000"/>
                <w:sz w:val="24"/>
                <w:szCs w:val="24"/>
                <w:lang w:eastAsia="en-US"/>
              </w:rPr>
            </w:pPr>
          </w:p>
          <w:p w14:paraId="64AB8CB3">
            <w:pPr>
              <w:jc w:val="center"/>
              <w:rPr>
                <w:rFonts w:ascii="Times New Roman" w:hAnsi="Times New Roman" w:cs="Times New Roman" w:eastAsiaTheme="minorHAnsi"/>
                <w:color w:val="000000"/>
                <w:sz w:val="24"/>
                <w:szCs w:val="24"/>
                <w:lang w:eastAsia="en-US"/>
              </w:rPr>
            </w:pPr>
          </w:p>
          <w:p w14:paraId="00B7E578">
            <w:pPr>
              <w:jc w:val="center"/>
              <w:rPr>
                <w:rFonts w:ascii="Times New Roman" w:hAnsi="Times New Roman" w:cs="Times New Roman" w:eastAsiaTheme="minorHAnsi"/>
                <w:color w:val="000000"/>
                <w:sz w:val="24"/>
                <w:szCs w:val="24"/>
                <w:lang w:eastAsia="en-US"/>
              </w:rPr>
            </w:pPr>
          </w:p>
          <w:p w14:paraId="0CEA7BFB">
            <w:pPr>
              <w:jc w:val="center"/>
              <w:rPr>
                <w:rFonts w:ascii="Times New Roman" w:hAnsi="Times New Roman" w:cs="Times New Roman" w:eastAsiaTheme="minorHAnsi"/>
                <w:color w:val="000000"/>
                <w:sz w:val="24"/>
                <w:szCs w:val="24"/>
                <w:lang w:eastAsia="en-US"/>
              </w:rPr>
            </w:pPr>
          </w:p>
          <w:p w14:paraId="3034616A">
            <w:pPr>
              <w:jc w:val="center"/>
              <w:rPr>
                <w:rFonts w:ascii="Times New Roman" w:hAnsi="Times New Roman" w:cs="Times New Roman" w:eastAsiaTheme="minorHAnsi"/>
                <w:color w:val="000000"/>
                <w:sz w:val="24"/>
                <w:szCs w:val="24"/>
                <w:lang w:eastAsia="en-US"/>
              </w:rPr>
            </w:pPr>
          </w:p>
          <w:p w14:paraId="463DA187">
            <w:pPr>
              <w:jc w:val="center"/>
              <w:rPr>
                <w:rFonts w:ascii="Times New Roman" w:hAnsi="Times New Roman" w:cs="Times New Roman" w:eastAsiaTheme="minorHAnsi"/>
                <w:color w:val="000000"/>
                <w:sz w:val="24"/>
                <w:szCs w:val="24"/>
                <w:lang w:eastAsia="en-US"/>
              </w:rPr>
            </w:pPr>
          </w:p>
          <w:p w14:paraId="3491DEFB">
            <w:pPr>
              <w:jc w:val="center"/>
              <w:rPr>
                <w:rFonts w:ascii="Times New Roman" w:hAnsi="Times New Roman" w:cs="Times New Roman" w:eastAsiaTheme="minorHAnsi"/>
                <w:color w:val="000000"/>
                <w:sz w:val="24"/>
                <w:szCs w:val="24"/>
                <w:lang w:eastAsia="en-US"/>
              </w:rPr>
            </w:pPr>
          </w:p>
          <w:p w14:paraId="04CD3553">
            <w:pPr>
              <w:jc w:val="center"/>
              <w:rPr>
                <w:rFonts w:ascii="Times New Roman" w:hAnsi="Times New Roman" w:cs="Times New Roman" w:eastAsiaTheme="minorHAnsi"/>
                <w:color w:val="000000"/>
                <w:sz w:val="24"/>
                <w:szCs w:val="24"/>
                <w:lang w:eastAsia="en-US"/>
              </w:rPr>
            </w:pPr>
          </w:p>
          <w:p w14:paraId="228B2AC9">
            <w:pPr>
              <w:jc w:val="center"/>
              <w:rPr>
                <w:rFonts w:ascii="Times New Roman" w:hAnsi="Times New Roman" w:cs="Times New Roman" w:eastAsiaTheme="minorHAnsi"/>
                <w:color w:val="000000"/>
                <w:sz w:val="24"/>
                <w:szCs w:val="24"/>
                <w:lang w:eastAsia="en-US"/>
              </w:rPr>
            </w:pPr>
          </w:p>
          <w:p w14:paraId="7D68C937">
            <w:pPr>
              <w:jc w:val="center"/>
              <w:rPr>
                <w:rFonts w:ascii="Times New Roman" w:hAnsi="Times New Roman" w:cs="Times New Roman" w:eastAsiaTheme="minorHAnsi"/>
                <w:color w:val="000000"/>
                <w:sz w:val="24"/>
                <w:szCs w:val="24"/>
                <w:lang w:eastAsia="en-US"/>
              </w:rPr>
            </w:pPr>
          </w:p>
          <w:p w14:paraId="545439F1">
            <w:pPr>
              <w:jc w:val="center"/>
              <w:rPr>
                <w:rFonts w:ascii="Times New Roman" w:hAnsi="Times New Roman" w:cs="Times New Roman" w:eastAsiaTheme="minorHAnsi"/>
                <w:color w:val="000000"/>
                <w:sz w:val="24"/>
                <w:szCs w:val="24"/>
                <w:lang w:eastAsia="en-US"/>
              </w:rPr>
            </w:pPr>
          </w:p>
          <w:p w14:paraId="62F355C1">
            <w:pPr>
              <w:jc w:val="center"/>
              <w:rPr>
                <w:rFonts w:ascii="Times New Roman" w:hAnsi="Times New Roman" w:cs="Times New Roman" w:eastAsiaTheme="minorHAnsi"/>
                <w:color w:val="000000"/>
                <w:sz w:val="24"/>
                <w:szCs w:val="24"/>
                <w:lang w:eastAsia="en-US"/>
              </w:rPr>
            </w:pPr>
          </w:p>
          <w:p w14:paraId="3F694F93">
            <w:pPr>
              <w:jc w:val="center"/>
              <w:rPr>
                <w:rFonts w:ascii="Times New Roman" w:hAnsi="Times New Roman" w:cs="Times New Roman" w:eastAsiaTheme="minorHAnsi"/>
                <w:color w:val="000000"/>
                <w:sz w:val="24"/>
                <w:szCs w:val="24"/>
                <w:lang w:eastAsia="en-US"/>
              </w:rPr>
            </w:pPr>
          </w:p>
          <w:p w14:paraId="634DDA7F">
            <w:pPr>
              <w:jc w:val="center"/>
              <w:rPr>
                <w:rFonts w:ascii="Times New Roman" w:hAnsi="Times New Roman" w:cs="Times New Roman" w:eastAsiaTheme="minorHAnsi"/>
                <w:color w:val="000000"/>
                <w:sz w:val="24"/>
                <w:szCs w:val="24"/>
                <w:lang w:eastAsia="en-US"/>
              </w:rPr>
            </w:pPr>
          </w:p>
          <w:p w14:paraId="156AF156">
            <w:pPr>
              <w:jc w:val="center"/>
              <w:rPr>
                <w:rFonts w:ascii="Times New Roman" w:hAnsi="Times New Roman" w:cs="Times New Roman" w:eastAsiaTheme="minorHAnsi"/>
                <w:color w:val="000000"/>
                <w:sz w:val="24"/>
                <w:szCs w:val="24"/>
                <w:lang w:eastAsia="en-US"/>
              </w:rPr>
            </w:pPr>
          </w:p>
          <w:p w14:paraId="31D74DB8">
            <w:pPr>
              <w:jc w:val="center"/>
              <w:rPr>
                <w:rFonts w:ascii="Times New Roman" w:hAnsi="Times New Roman" w:cs="Times New Roman" w:eastAsiaTheme="minorHAnsi"/>
                <w:color w:val="000000"/>
                <w:sz w:val="24"/>
                <w:szCs w:val="24"/>
                <w:lang w:eastAsia="en-US"/>
              </w:rPr>
            </w:pPr>
          </w:p>
          <w:p w14:paraId="736AFE9C">
            <w:pPr>
              <w:jc w:val="center"/>
              <w:rPr>
                <w:rFonts w:ascii="Times New Roman" w:hAnsi="Times New Roman" w:cs="Times New Roman" w:eastAsiaTheme="minorHAnsi"/>
                <w:color w:val="000000"/>
                <w:sz w:val="24"/>
                <w:szCs w:val="24"/>
                <w:lang w:eastAsia="en-US"/>
              </w:rPr>
            </w:pPr>
          </w:p>
          <w:p w14:paraId="43232311">
            <w:pPr>
              <w:jc w:val="center"/>
              <w:rPr>
                <w:rFonts w:ascii="Times New Roman" w:hAnsi="Times New Roman" w:cs="Times New Roman" w:eastAsiaTheme="minorHAnsi"/>
                <w:color w:val="000000"/>
                <w:sz w:val="24"/>
                <w:szCs w:val="24"/>
                <w:lang w:eastAsia="en-US"/>
              </w:rPr>
            </w:pPr>
          </w:p>
          <w:p w14:paraId="0793D705">
            <w:pPr>
              <w:jc w:val="center"/>
              <w:rPr>
                <w:rFonts w:ascii="Times New Roman" w:hAnsi="Times New Roman" w:cs="Times New Roman" w:eastAsiaTheme="minorHAnsi"/>
                <w:color w:val="000000"/>
                <w:sz w:val="24"/>
                <w:szCs w:val="24"/>
                <w:lang w:eastAsia="en-US"/>
              </w:rPr>
            </w:pPr>
          </w:p>
          <w:p w14:paraId="419BD79B">
            <w:pPr>
              <w:jc w:val="center"/>
              <w:rPr>
                <w:rFonts w:ascii="Times New Roman" w:hAnsi="Times New Roman" w:cs="Times New Roman" w:eastAsiaTheme="minorHAnsi"/>
                <w:color w:val="000000"/>
                <w:sz w:val="24"/>
                <w:szCs w:val="24"/>
                <w:lang w:eastAsia="en-US"/>
              </w:rPr>
            </w:pPr>
          </w:p>
          <w:p w14:paraId="1129ECBE">
            <w:pPr>
              <w:jc w:val="center"/>
              <w:rPr>
                <w:rFonts w:ascii="Times New Roman" w:hAnsi="Times New Roman" w:cs="Times New Roman" w:eastAsiaTheme="minorHAnsi"/>
                <w:color w:val="000000"/>
                <w:sz w:val="24"/>
                <w:szCs w:val="24"/>
                <w:lang w:eastAsia="en-US"/>
              </w:rPr>
            </w:pPr>
          </w:p>
          <w:p w14:paraId="58388319">
            <w:pPr>
              <w:jc w:val="center"/>
              <w:rPr>
                <w:rFonts w:ascii="Times New Roman" w:hAnsi="Times New Roman" w:cs="Times New Roman" w:eastAsiaTheme="minorHAnsi"/>
                <w:color w:val="000000"/>
                <w:sz w:val="24"/>
                <w:szCs w:val="24"/>
                <w:lang w:eastAsia="en-US"/>
              </w:rPr>
            </w:pPr>
          </w:p>
          <w:p w14:paraId="2229974E">
            <w:pPr>
              <w:jc w:val="center"/>
              <w:rPr>
                <w:rFonts w:ascii="Times New Roman" w:hAnsi="Times New Roman" w:cs="Times New Roman" w:eastAsiaTheme="minorHAnsi"/>
                <w:color w:val="000000"/>
                <w:sz w:val="24"/>
                <w:szCs w:val="24"/>
                <w:lang w:eastAsia="en-US"/>
              </w:rPr>
            </w:pPr>
          </w:p>
          <w:p w14:paraId="415F3500">
            <w:pPr>
              <w:jc w:val="center"/>
              <w:rPr>
                <w:rFonts w:ascii="Times New Roman" w:hAnsi="Times New Roman" w:cs="Times New Roman" w:eastAsiaTheme="minorHAnsi"/>
                <w:color w:val="000000"/>
                <w:sz w:val="24"/>
                <w:szCs w:val="24"/>
                <w:lang w:eastAsia="en-US"/>
              </w:rPr>
            </w:pPr>
          </w:p>
          <w:p w14:paraId="659BA722">
            <w:pPr>
              <w:jc w:val="center"/>
              <w:rPr>
                <w:rFonts w:ascii="Times New Roman" w:hAnsi="Times New Roman" w:cs="Times New Roman" w:eastAsiaTheme="minorHAnsi"/>
                <w:color w:val="000000"/>
                <w:sz w:val="24"/>
                <w:szCs w:val="24"/>
                <w:lang w:eastAsia="en-US"/>
              </w:rPr>
            </w:pPr>
          </w:p>
          <w:p w14:paraId="01C88AFF">
            <w:pPr>
              <w:jc w:val="center"/>
              <w:rPr>
                <w:rFonts w:ascii="Times New Roman" w:hAnsi="Times New Roman" w:cs="Times New Roman" w:eastAsiaTheme="minorHAnsi"/>
                <w:color w:val="000000"/>
                <w:sz w:val="24"/>
                <w:szCs w:val="24"/>
                <w:lang w:eastAsia="en-US"/>
              </w:rPr>
            </w:pPr>
          </w:p>
          <w:p w14:paraId="3466E428">
            <w:pPr>
              <w:jc w:val="center"/>
              <w:rPr>
                <w:rFonts w:ascii="Times New Roman" w:hAnsi="Times New Roman" w:cs="Times New Roman" w:eastAsiaTheme="minorHAnsi"/>
                <w:color w:val="000000"/>
                <w:sz w:val="24"/>
                <w:szCs w:val="24"/>
                <w:lang w:eastAsia="en-US"/>
              </w:rPr>
            </w:pPr>
          </w:p>
          <w:p w14:paraId="16D4D8BC">
            <w:pPr>
              <w:jc w:val="center"/>
              <w:rPr>
                <w:rFonts w:ascii="Times New Roman" w:hAnsi="Times New Roman" w:cs="Times New Roman" w:eastAsiaTheme="minorHAnsi"/>
                <w:color w:val="000000"/>
                <w:sz w:val="24"/>
                <w:szCs w:val="24"/>
                <w:lang w:eastAsia="en-US"/>
              </w:rPr>
            </w:pPr>
          </w:p>
          <w:p w14:paraId="7BCB7908">
            <w:pPr>
              <w:jc w:val="center"/>
              <w:rPr>
                <w:rFonts w:ascii="Times New Roman" w:hAnsi="Times New Roman" w:cs="Times New Roman" w:eastAsiaTheme="minorHAnsi"/>
                <w:color w:val="000000"/>
                <w:sz w:val="24"/>
                <w:szCs w:val="24"/>
                <w:lang w:eastAsia="en-US"/>
              </w:rPr>
            </w:pPr>
          </w:p>
          <w:p w14:paraId="461A0F0D">
            <w:pPr>
              <w:jc w:val="center"/>
              <w:rPr>
                <w:rFonts w:ascii="Times New Roman" w:hAnsi="Times New Roman" w:cs="Times New Roman" w:eastAsiaTheme="minorHAnsi"/>
                <w:color w:val="000000"/>
                <w:sz w:val="24"/>
                <w:szCs w:val="24"/>
                <w:lang w:eastAsia="en-US"/>
              </w:rPr>
            </w:pPr>
            <w:r>
              <w:rPr>
                <w:rFonts w:ascii="Times New Roman" w:hAnsi="Times New Roman" w:cs="Times New Roman" w:eastAsiaTheme="minorHAnsi"/>
                <w:color w:val="000000"/>
                <w:sz w:val="24"/>
                <w:szCs w:val="24"/>
                <w:lang w:eastAsia="en-US"/>
              </w:rPr>
              <w:t>05</w:t>
            </w:r>
          </w:p>
        </w:tc>
        <w:tc>
          <w:tcPr>
            <w:tcW w:w="1701" w:type="dxa"/>
            <w:shd w:val="clear" w:color="auto" w:fill="auto"/>
            <w:vAlign w:val="bottom"/>
          </w:tcPr>
          <w:p w14:paraId="70C04867">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SUV</w:t>
            </w:r>
          </w:p>
        </w:tc>
        <w:tc>
          <w:tcPr>
            <w:tcW w:w="3685" w:type="dxa"/>
            <w:shd w:val="clear" w:color="auto" w:fill="auto"/>
            <w:vAlign w:val="bottom"/>
          </w:tcPr>
          <w:p w14:paraId="495099A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Veículo novo, zero km,</w:t>
            </w:r>
          </w:p>
          <w:p w14:paraId="34235DF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popular, ano/modelo de</w:t>
            </w:r>
          </w:p>
          <w:p w14:paraId="4BD9368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fabricação mínimo</w:t>
            </w:r>
          </w:p>
          <w:p w14:paraId="670CE84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2024/2025, cor branca,</w:t>
            </w:r>
          </w:p>
          <w:p w14:paraId="7537B77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transmissão manual, 4</w:t>
            </w:r>
          </w:p>
          <w:p w14:paraId="758661F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portas, com todos os</w:t>
            </w:r>
          </w:p>
          <w:p w14:paraId="3F6925C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equipamentos obrigatórios</w:t>
            </w:r>
          </w:p>
          <w:p w14:paraId="3FDC516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exigidos pelo Contran,</w:t>
            </w:r>
          </w:p>
          <w:p w14:paraId="022B1EF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capacidade para 5</w:t>
            </w:r>
          </w:p>
          <w:p w14:paraId="4B5038C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ocupantes. Motor 1.0 flex, 3</w:t>
            </w:r>
          </w:p>
          <w:p w14:paraId="5F9E3F7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cilindros, com potência</w:t>
            </w:r>
          </w:p>
          <w:p w14:paraId="54F4E88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mínima de 68 cv (g) e 71 cv</w:t>
            </w:r>
          </w:p>
          <w:p w14:paraId="528892E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 capacidade mínima do</w:t>
            </w:r>
          </w:p>
          <w:p w14:paraId="5C77786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tanque de combustível de</w:t>
            </w:r>
          </w:p>
          <w:p w14:paraId="6E542B1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47 litros, direção elétrica,</w:t>
            </w:r>
          </w:p>
          <w:p w14:paraId="2E05F95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freios com sistema anti-</w:t>
            </w:r>
          </w:p>
          <w:p w14:paraId="363BF66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bloqueio (abs) nas quatro</w:t>
            </w:r>
          </w:p>
          <w:p w14:paraId="35684E7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rodas, sistema de</w:t>
            </w:r>
          </w:p>
          <w:p w14:paraId="7D9719E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distribuição eletrônica de</w:t>
            </w:r>
          </w:p>
          <w:p w14:paraId="28C9714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frenagem (ebd), airbags</w:t>
            </w:r>
          </w:p>
          <w:p w14:paraId="530ACF9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frontais, cintos de</w:t>
            </w:r>
          </w:p>
          <w:p w14:paraId="60CB7D5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segurança de 3 pontos para</w:t>
            </w:r>
          </w:p>
          <w:p w14:paraId="799390F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todos os ocupantes,</w:t>
            </w:r>
          </w:p>
          <w:p w14:paraId="2D2D86A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encostos de cabeça para</w:t>
            </w:r>
          </w:p>
          <w:p w14:paraId="4693D1F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todos os ocupantes, faróis</w:t>
            </w:r>
          </w:p>
          <w:p w14:paraId="2FE9EE8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neblina, travas elétricas</w:t>
            </w:r>
          </w:p>
          <w:p w14:paraId="3C6FB08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nas portas, desembaçador</w:t>
            </w:r>
          </w:p>
          <w:p w14:paraId="23D48AA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do vidro traseiro, ar -</w:t>
            </w:r>
          </w:p>
          <w:p w14:paraId="2BD71CE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condicionado, vidros</w:t>
            </w:r>
          </w:p>
          <w:p w14:paraId="767D932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elétricos dianteiros, rodas</w:t>
            </w:r>
          </w:p>
          <w:p w14:paraId="4A831DF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aço, rádio fm com</w:t>
            </w:r>
          </w:p>
          <w:p w14:paraId="18AC11D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 xml:space="preserve">conexão usb, protetor de </w:t>
            </w:r>
            <w:r>
              <w:rPr>
                <w:rFonts w:asciiTheme="minorHAnsi" w:hAnsiTheme="minorHAnsi" w:eastAsiaTheme="minorHAnsi" w:cstheme="minorBidi"/>
                <w:sz w:val="22"/>
                <w:szCs w:val="22"/>
                <w:lang w:eastAsia="en-US"/>
              </w:rPr>
              <w:t xml:space="preserve"> </w:t>
            </w:r>
            <w:r>
              <w:rPr>
                <w:rFonts w:ascii="Times New Roman" w:hAnsi="Times New Roman" w:eastAsia="SimSun" w:cs="Times New Roman"/>
                <w:color w:val="000000"/>
                <w:sz w:val="24"/>
                <w:szCs w:val="24"/>
                <w:lang w:eastAsia="zh-CN" w:bidi="ar"/>
              </w:rPr>
              <w:t>cárter/motor, jogo de</w:t>
            </w:r>
          </w:p>
          <w:p w14:paraId="1C35517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tapetes e película instalada</w:t>
            </w:r>
          </w:p>
          <w:p w14:paraId="44829BA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em todos os vidros,</w:t>
            </w:r>
          </w:p>
          <w:p w14:paraId="6199CDE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conforme a resolução nº 254</w:t>
            </w:r>
          </w:p>
          <w:p w14:paraId="647BE86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do Contran. Destinado a</w:t>
            </w:r>
          </w:p>
          <w:p w14:paraId="008FDC6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Secretaria Municipal de</w:t>
            </w:r>
          </w:p>
          <w:p w14:paraId="1BA679B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Saúde.</w:t>
            </w:r>
          </w:p>
        </w:tc>
        <w:tc>
          <w:tcPr>
            <w:tcW w:w="1559" w:type="dxa"/>
            <w:shd w:val="clear" w:color="auto" w:fill="auto"/>
            <w:vAlign w:val="bottom"/>
          </w:tcPr>
          <w:p w14:paraId="5C98940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R$76.831,44</w:t>
            </w:r>
          </w:p>
        </w:tc>
        <w:tc>
          <w:tcPr>
            <w:tcW w:w="1961" w:type="dxa"/>
            <w:shd w:val="clear" w:color="auto" w:fill="auto"/>
            <w:vAlign w:val="bottom"/>
          </w:tcPr>
          <w:p w14:paraId="6473F15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R$384.157,20</w:t>
            </w:r>
          </w:p>
        </w:tc>
      </w:tr>
      <w:tr w14:paraId="6C43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03DEEE0C">
            <w:pPr>
              <w:jc w:val="center"/>
              <w:rPr>
                <w:rFonts w:ascii="Times New Roman" w:hAnsi="Times New Roman" w:eastAsia="SimSun" w:cs="Times New Roman"/>
                <w:kern w:val="3"/>
                <w:sz w:val="24"/>
                <w:szCs w:val="24"/>
                <w:lang w:eastAsia="en-US" w:bidi="hi-IN"/>
              </w:rPr>
            </w:pPr>
          </w:p>
          <w:p w14:paraId="1AC2FC63">
            <w:pPr>
              <w:jc w:val="center"/>
              <w:rPr>
                <w:rFonts w:ascii="Times New Roman" w:hAnsi="Times New Roman" w:eastAsia="SimSun" w:cs="Times New Roman"/>
                <w:kern w:val="3"/>
                <w:sz w:val="24"/>
                <w:szCs w:val="24"/>
                <w:lang w:eastAsia="en-US" w:bidi="hi-IN"/>
              </w:rPr>
            </w:pPr>
          </w:p>
          <w:p w14:paraId="44F7CBC2">
            <w:pPr>
              <w:jc w:val="center"/>
              <w:rPr>
                <w:rFonts w:ascii="Times New Roman" w:hAnsi="Times New Roman" w:eastAsia="SimSun" w:cs="Times New Roman"/>
                <w:kern w:val="3"/>
                <w:sz w:val="24"/>
                <w:szCs w:val="24"/>
                <w:lang w:eastAsia="en-US" w:bidi="hi-IN"/>
              </w:rPr>
            </w:pPr>
          </w:p>
          <w:p w14:paraId="061D025D">
            <w:pPr>
              <w:jc w:val="center"/>
              <w:rPr>
                <w:rFonts w:ascii="Times New Roman" w:hAnsi="Times New Roman" w:eastAsia="SimSun" w:cs="Times New Roman"/>
                <w:kern w:val="3"/>
                <w:sz w:val="24"/>
                <w:szCs w:val="24"/>
                <w:lang w:eastAsia="en-US" w:bidi="hi-IN"/>
              </w:rPr>
            </w:pPr>
          </w:p>
          <w:p w14:paraId="4F18F147">
            <w:pPr>
              <w:jc w:val="center"/>
              <w:rPr>
                <w:rFonts w:ascii="Times New Roman" w:hAnsi="Times New Roman" w:eastAsia="SimSun" w:cs="Times New Roman"/>
                <w:kern w:val="3"/>
                <w:sz w:val="24"/>
                <w:szCs w:val="24"/>
                <w:lang w:eastAsia="en-US" w:bidi="hi-IN"/>
              </w:rPr>
            </w:pPr>
          </w:p>
          <w:p w14:paraId="03B26B15">
            <w:pPr>
              <w:jc w:val="center"/>
              <w:rPr>
                <w:rFonts w:ascii="Times New Roman" w:hAnsi="Times New Roman" w:eastAsia="SimSun" w:cs="Times New Roman"/>
                <w:kern w:val="3"/>
                <w:sz w:val="24"/>
                <w:szCs w:val="24"/>
                <w:lang w:eastAsia="en-US" w:bidi="hi-IN"/>
              </w:rPr>
            </w:pPr>
          </w:p>
          <w:p w14:paraId="43D8C382">
            <w:pPr>
              <w:jc w:val="center"/>
              <w:rPr>
                <w:rFonts w:ascii="Times New Roman" w:hAnsi="Times New Roman" w:eastAsia="SimSun" w:cs="Times New Roman"/>
                <w:kern w:val="3"/>
                <w:sz w:val="24"/>
                <w:szCs w:val="24"/>
                <w:lang w:eastAsia="en-US" w:bidi="hi-IN"/>
              </w:rPr>
            </w:pPr>
          </w:p>
          <w:p w14:paraId="48AB8D75">
            <w:pPr>
              <w:jc w:val="center"/>
              <w:rPr>
                <w:rFonts w:ascii="Times New Roman" w:hAnsi="Times New Roman" w:eastAsia="SimSun" w:cs="Times New Roman"/>
                <w:kern w:val="3"/>
                <w:sz w:val="24"/>
                <w:szCs w:val="24"/>
                <w:lang w:eastAsia="en-US" w:bidi="hi-IN"/>
              </w:rPr>
            </w:pPr>
          </w:p>
          <w:p w14:paraId="417474BF">
            <w:pPr>
              <w:jc w:val="center"/>
              <w:rPr>
                <w:rFonts w:ascii="Times New Roman" w:hAnsi="Times New Roman" w:eastAsia="SimSun" w:cs="Times New Roman"/>
                <w:kern w:val="3"/>
                <w:sz w:val="24"/>
                <w:szCs w:val="24"/>
                <w:lang w:eastAsia="en-US" w:bidi="hi-IN"/>
              </w:rPr>
            </w:pPr>
          </w:p>
          <w:p w14:paraId="0E0FD911">
            <w:pPr>
              <w:jc w:val="center"/>
              <w:rPr>
                <w:rFonts w:ascii="Times New Roman" w:hAnsi="Times New Roman" w:eastAsia="SimSun" w:cs="Times New Roman"/>
                <w:kern w:val="3"/>
                <w:sz w:val="24"/>
                <w:szCs w:val="24"/>
                <w:lang w:eastAsia="en-US" w:bidi="hi-IN"/>
              </w:rPr>
            </w:pPr>
          </w:p>
          <w:p w14:paraId="3364A1BE">
            <w:pPr>
              <w:jc w:val="center"/>
              <w:rPr>
                <w:rFonts w:ascii="Times New Roman" w:hAnsi="Times New Roman" w:eastAsia="SimSun" w:cs="Times New Roman"/>
                <w:kern w:val="3"/>
                <w:sz w:val="24"/>
                <w:szCs w:val="24"/>
                <w:lang w:eastAsia="en-US" w:bidi="hi-IN"/>
              </w:rPr>
            </w:pPr>
          </w:p>
          <w:p w14:paraId="13CE694B">
            <w:pPr>
              <w:jc w:val="center"/>
              <w:rPr>
                <w:rFonts w:ascii="Times New Roman" w:hAnsi="Times New Roman" w:eastAsia="SimSun" w:cs="Times New Roman"/>
                <w:kern w:val="3"/>
                <w:sz w:val="24"/>
                <w:szCs w:val="24"/>
                <w:lang w:eastAsia="en-US" w:bidi="hi-IN"/>
              </w:rPr>
            </w:pPr>
          </w:p>
          <w:p w14:paraId="13AC9C68">
            <w:pPr>
              <w:jc w:val="center"/>
              <w:rPr>
                <w:rFonts w:ascii="Times New Roman" w:hAnsi="Times New Roman" w:eastAsia="SimSun" w:cs="Times New Roman"/>
                <w:kern w:val="3"/>
                <w:sz w:val="24"/>
                <w:szCs w:val="24"/>
                <w:lang w:eastAsia="en-US" w:bidi="hi-IN"/>
              </w:rPr>
            </w:pPr>
          </w:p>
          <w:p w14:paraId="71ADEFF5">
            <w:pPr>
              <w:jc w:val="center"/>
              <w:rPr>
                <w:rFonts w:ascii="Times New Roman" w:hAnsi="Times New Roman" w:eastAsia="SimSun" w:cs="Times New Roman"/>
                <w:kern w:val="3"/>
                <w:sz w:val="24"/>
                <w:szCs w:val="24"/>
                <w:lang w:eastAsia="en-US" w:bidi="hi-IN"/>
              </w:rPr>
            </w:pPr>
          </w:p>
          <w:p w14:paraId="4F8E8822">
            <w:pPr>
              <w:jc w:val="center"/>
              <w:rPr>
                <w:rFonts w:ascii="Times New Roman" w:hAnsi="Times New Roman" w:eastAsia="SimSun" w:cs="Times New Roman"/>
                <w:kern w:val="3"/>
                <w:sz w:val="24"/>
                <w:szCs w:val="24"/>
                <w:lang w:eastAsia="en-US" w:bidi="hi-IN"/>
              </w:rPr>
            </w:pPr>
          </w:p>
          <w:p w14:paraId="3BD3AC33">
            <w:pPr>
              <w:jc w:val="center"/>
              <w:rPr>
                <w:rFonts w:ascii="Times New Roman" w:hAnsi="Times New Roman" w:eastAsia="SimSun" w:cs="Times New Roman"/>
                <w:kern w:val="3"/>
                <w:sz w:val="24"/>
                <w:szCs w:val="24"/>
                <w:lang w:eastAsia="en-US" w:bidi="hi-IN"/>
              </w:rPr>
            </w:pPr>
          </w:p>
          <w:p w14:paraId="464B584C">
            <w:pPr>
              <w:jc w:val="center"/>
              <w:rPr>
                <w:rFonts w:ascii="Times New Roman" w:hAnsi="Times New Roman" w:eastAsia="SimSun" w:cs="Times New Roman"/>
                <w:kern w:val="3"/>
                <w:sz w:val="24"/>
                <w:szCs w:val="24"/>
                <w:lang w:eastAsia="en-US" w:bidi="hi-IN"/>
              </w:rPr>
            </w:pPr>
          </w:p>
          <w:p w14:paraId="1E93AACC">
            <w:pPr>
              <w:jc w:val="center"/>
              <w:rPr>
                <w:rFonts w:ascii="Times New Roman" w:hAnsi="Times New Roman" w:eastAsia="SimSun" w:cs="Times New Roman"/>
                <w:kern w:val="3"/>
                <w:sz w:val="24"/>
                <w:szCs w:val="24"/>
                <w:lang w:eastAsia="en-US" w:bidi="hi-IN"/>
              </w:rPr>
            </w:pPr>
          </w:p>
          <w:p w14:paraId="61752E26">
            <w:pPr>
              <w:jc w:val="center"/>
              <w:rPr>
                <w:rFonts w:ascii="Times New Roman" w:hAnsi="Times New Roman" w:eastAsia="SimSun" w:cs="Times New Roman"/>
                <w:kern w:val="3"/>
                <w:sz w:val="24"/>
                <w:szCs w:val="24"/>
                <w:lang w:eastAsia="en-US" w:bidi="hi-IN"/>
              </w:rPr>
            </w:pPr>
          </w:p>
          <w:p w14:paraId="4C8CFEAC">
            <w:pPr>
              <w:jc w:val="center"/>
              <w:rPr>
                <w:rFonts w:ascii="Times New Roman" w:hAnsi="Times New Roman" w:eastAsia="SimSun" w:cs="Times New Roman"/>
                <w:kern w:val="3"/>
                <w:sz w:val="24"/>
                <w:szCs w:val="24"/>
                <w:lang w:eastAsia="en-US" w:bidi="hi-IN"/>
              </w:rPr>
            </w:pPr>
          </w:p>
          <w:p w14:paraId="189CCA7F">
            <w:pPr>
              <w:jc w:val="center"/>
              <w:rPr>
                <w:rFonts w:ascii="Times New Roman" w:hAnsi="Times New Roman" w:eastAsia="SimSun" w:cs="Times New Roman"/>
                <w:kern w:val="3"/>
                <w:sz w:val="24"/>
                <w:szCs w:val="24"/>
                <w:lang w:eastAsia="en-US" w:bidi="hi-IN"/>
              </w:rPr>
            </w:pPr>
          </w:p>
          <w:p w14:paraId="65275037">
            <w:pPr>
              <w:jc w:val="center"/>
              <w:rPr>
                <w:rFonts w:ascii="Times New Roman" w:hAnsi="Times New Roman" w:eastAsia="SimSun" w:cs="Times New Roman"/>
                <w:kern w:val="3"/>
                <w:sz w:val="24"/>
                <w:szCs w:val="24"/>
                <w:lang w:eastAsia="en-US" w:bidi="hi-IN"/>
              </w:rPr>
            </w:pPr>
          </w:p>
          <w:p w14:paraId="571CFF2B">
            <w:pPr>
              <w:jc w:val="center"/>
              <w:rPr>
                <w:rFonts w:ascii="Times New Roman" w:hAnsi="Times New Roman" w:eastAsia="SimSun" w:cs="Times New Roman"/>
                <w:kern w:val="3"/>
                <w:sz w:val="24"/>
                <w:szCs w:val="24"/>
                <w:lang w:eastAsia="en-US" w:bidi="hi-IN"/>
              </w:rPr>
            </w:pPr>
          </w:p>
          <w:p w14:paraId="4FCB137F">
            <w:pPr>
              <w:jc w:val="center"/>
              <w:rPr>
                <w:rFonts w:ascii="Times New Roman" w:hAnsi="Times New Roman" w:eastAsia="SimSun" w:cs="Times New Roman"/>
                <w:kern w:val="3"/>
                <w:sz w:val="24"/>
                <w:szCs w:val="24"/>
                <w:lang w:eastAsia="en-US" w:bidi="hi-IN"/>
              </w:rPr>
            </w:pPr>
          </w:p>
          <w:p w14:paraId="6AC89C3A">
            <w:pPr>
              <w:jc w:val="center"/>
              <w:rPr>
                <w:rFonts w:ascii="Times New Roman" w:hAnsi="Times New Roman" w:eastAsia="SimSun" w:cs="Times New Roman"/>
                <w:kern w:val="3"/>
                <w:sz w:val="24"/>
                <w:szCs w:val="24"/>
                <w:lang w:eastAsia="en-US" w:bidi="hi-IN"/>
              </w:rPr>
            </w:pPr>
          </w:p>
          <w:p w14:paraId="0083C304">
            <w:pPr>
              <w:jc w:val="center"/>
              <w:rPr>
                <w:rFonts w:ascii="Times New Roman" w:hAnsi="Times New Roman" w:eastAsia="SimSun" w:cs="Times New Roman"/>
                <w:kern w:val="3"/>
                <w:sz w:val="24"/>
                <w:szCs w:val="24"/>
                <w:lang w:eastAsia="en-US" w:bidi="hi-IN"/>
              </w:rPr>
            </w:pPr>
          </w:p>
          <w:p w14:paraId="0F0A1706">
            <w:pPr>
              <w:jc w:val="center"/>
              <w:rPr>
                <w:rFonts w:ascii="Times New Roman" w:hAnsi="Times New Roman" w:eastAsia="SimSun" w:cs="Times New Roman"/>
                <w:kern w:val="3"/>
                <w:sz w:val="24"/>
                <w:szCs w:val="24"/>
                <w:lang w:eastAsia="en-US" w:bidi="hi-IN"/>
              </w:rPr>
            </w:pPr>
          </w:p>
          <w:p w14:paraId="5935EECA">
            <w:pPr>
              <w:jc w:val="center"/>
              <w:rPr>
                <w:rFonts w:ascii="Times New Roman" w:hAnsi="Times New Roman" w:eastAsia="SimSun" w:cs="Times New Roman"/>
                <w:kern w:val="3"/>
                <w:sz w:val="24"/>
                <w:szCs w:val="24"/>
                <w:lang w:eastAsia="en-US" w:bidi="hi-IN"/>
              </w:rPr>
            </w:pPr>
          </w:p>
          <w:p w14:paraId="77325D00">
            <w:pPr>
              <w:jc w:val="center"/>
              <w:rPr>
                <w:rFonts w:ascii="Times New Roman" w:hAnsi="Times New Roman" w:eastAsia="SimSun" w:cs="Times New Roman"/>
                <w:kern w:val="3"/>
                <w:sz w:val="24"/>
                <w:szCs w:val="24"/>
                <w:lang w:eastAsia="en-US" w:bidi="hi-IN"/>
              </w:rPr>
            </w:pPr>
          </w:p>
          <w:p w14:paraId="3BE6FB1D">
            <w:pPr>
              <w:jc w:val="center"/>
              <w:rPr>
                <w:rFonts w:ascii="Times New Roman" w:hAnsi="Times New Roman" w:eastAsia="SimSun" w:cs="Times New Roman"/>
                <w:kern w:val="3"/>
                <w:sz w:val="24"/>
                <w:szCs w:val="24"/>
                <w:lang w:eastAsia="en-US" w:bidi="hi-IN"/>
              </w:rPr>
            </w:pPr>
          </w:p>
          <w:p w14:paraId="54DEFEBE">
            <w:pPr>
              <w:jc w:val="center"/>
              <w:rPr>
                <w:rFonts w:ascii="Times New Roman" w:hAnsi="Times New Roman" w:eastAsia="SimSun" w:cs="Times New Roman"/>
                <w:kern w:val="3"/>
                <w:sz w:val="24"/>
                <w:szCs w:val="24"/>
                <w:lang w:eastAsia="en-US" w:bidi="hi-IN"/>
              </w:rPr>
            </w:pPr>
          </w:p>
          <w:p w14:paraId="09F9904C">
            <w:pPr>
              <w:jc w:val="center"/>
              <w:rPr>
                <w:rFonts w:ascii="Times New Roman" w:hAnsi="Times New Roman" w:eastAsia="SimSun" w:cs="Times New Roman"/>
                <w:kern w:val="3"/>
                <w:sz w:val="24"/>
                <w:szCs w:val="24"/>
                <w:lang w:eastAsia="en-US" w:bidi="hi-IN"/>
              </w:rPr>
            </w:pPr>
          </w:p>
          <w:p w14:paraId="2D971C53">
            <w:pPr>
              <w:jc w:val="center"/>
              <w:rPr>
                <w:rFonts w:ascii="Times New Roman" w:hAnsi="Times New Roman" w:eastAsia="SimSun" w:cs="Times New Roman"/>
                <w:kern w:val="3"/>
                <w:sz w:val="24"/>
                <w:szCs w:val="24"/>
                <w:lang w:eastAsia="en-US" w:bidi="hi-IN"/>
              </w:rPr>
            </w:pPr>
          </w:p>
          <w:p w14:paraId="48BEB92B">
            <w:pPr>
              <w:jc w:val="center"/>
              <w:rPr>
                <w:rFonts w:ascii="Times New Roman" w:hAnsi="Times New Roman" w:eastAsia="SimSun" w:cs="Times New Roman"/>
                <w:kern w:val="3"/>
                <w:sz w:val="24"/>
                <w:szCs w:val="24"/>
                <w:lang w:eastAsia="en-US" w:bidi="hi-IN"/>
              </w:rPr>
            </w:pPr>
          </w:p>
          <w:p w14:paraId="5169A6AB">
            <w:pPr>
              <w:jc w:val="center"/>
              <w:rPr>
                <w:rFonts w:ascii="Times New Roman" w:hAnsi="Times New Roman" w:eastAsia="SimSun" w:cs="Times New Roman"/>
                <w:kern w:val="3"/>
                <w:sz w:val="24"/>
                <w:szCs w:val="24"/>
                <w:lang w:eastAsia="en-US" w:bidi="hi-IN"/>
              </w:rPr>
            </w:pPr>
          </w:p>
          <w:p w14:paraId="402F4676">
            <w:pPr>
              <w:jc w:val="center"/>
              <w:rPr>
                <w:rFonts w:ascii="Times New Roman" w:hAnsi="Times New Roman" w:eastAsia="SimSun" w:cs="Times New Roman"/>
                <w:kern w:val="3"/>
                <w:sz w:val="24"/>
                <w:szCs w:val="24"/>
                <w:lang w:eastAsia="en-US" w:bidi="hi-IN"/>
              </w:rPr>
            </w:pPr>
          </w:p>
          <w:p w14:paraId="11076448">
            <w:pPr>
              <w:jc w:val="center"/>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02</w:t>
            </w:r>
          </w:p>
        </w:tc>
        <w:tc>
          <w:tcPr>
            <w:tcW w:w="993" w:type="dxa"/>
            <w:shd w:val="clear" w:color="auto" w:fill="auto"/>
          </w:tcPr>
          <w:p w14:paraId="2BF29E5E">
            <w:pPr>
              <w:jc w:val="center"/>
              <w:rPr>
                <w:rFonts w:ascii="Times New Roman" w:hAnsi="Times New Roman" w:cs="Times New Roman" w:eastAsiaTheme="minorHAnsi"/>
                <w:color w:val="000000"/>
                <w:sz w:val="24"/>
                <w:szCs w:val="24"/>
                <w:lang w:eastAsia="en-US"/>
              </w:rPr>
            </w:pPr>
          </w:p>
          <w:p w14:paraId="36C42537">
            <w:pPr>
              <w:jc w:val="center"/>
              <w:rPr>
                <w:rFonts w:ascii="Times New Roman" w:hAnsi="Times New Roman" w:cs="Times New Roman" w:eastAsiaTheme="minorHAnsi"/>
                <w:color w:val="000000"/>
                <w:sz w:val="24"/>
                <w:szCs w:val="24"/>
                <w:lang w:eastAsia="en-US"/>
              </w:rPr>
            </w:pPr>
          </w:p>
          <w:p w14:paraId="1491B439">
            <w:pPr>
              <w:jc w:val="center"/>
              <w:rPr>
                <w:rFonts w:ascii="Times New Roman" w:hAnsi="Times New Roman" w:cs="Times New Roman" w:eastAsiaTheme="minorHAnsi"/>
                <w:color w:val="000000"/>
                <w:sz w:val="24"/>
                <w:szCs w:val="24"/>
                <w:lang w:eastAsia="en-US"/>
              </w:rPr>
            </w:pPr>
          </w:p>
          <w:p w14:paraId="33C42691">
            <w:pPr>
              <w:jc w:val="center"/>
              <w:rPr>
                <w:rFonts w:ascii="Times New Roman" w:hAnsi="Times New Roman" w:cs="Times New Roman" w:eastAsiaTheme="minorHAnsi"/>
                <w:color w:val="000000"/>
                <w:sz w:val="24"/>
                <w:szCs w:val="24"/>
                <w:lang w:eastAsia="en-US"/>
              </w:rPr>
            </w:pPr>
          </w:p>
          <w:p w14:paraId="68CA514D">
            <w:pPr>
              <w:jc w:val="center"/>
              <w:rPr>
                <w:rFonts w:ascii="Times New Roman" w:hAnsi="Times New Roman" w:cs="Times New Roman" w:eastAsiaTheme="minorHAnsi"/>
                <w:color w:val="000000"/>
                <w:sz w:val="24"/>
                <w:szCs w:val="24"/>
                <w:lang w:eastAsia="en-US"/>
              </w:rPr>
            </w:pPr>
          </w:p>
          <w:p w14:paraId="7E526606">
            <w:pPr>
              <w:jc w:val="center"/>
              <w:rPr>
                <w:rFonts w:ascii="Times New Roman" w:hAnsi="Times New Roman" w:cs="Times New Roman" w:eastAsiaTheme="minorHAnsi"/>
                <w:color w:val="000000"/>
                <w:sz w:val="24"/>
                <w:szCs w:val="24"/>
                <w:lang w:eastAsia="en-US"/>
              </w:rPr>
            </w:pPr>
          </w:p>
          <w:p w14:paraId="402B5EE9">
            <w:pPr>
              <w:jc w:val="center"/>
              <w:rPr>
                <w:rFonts w:ascii="Times New Roman" w:hAnsi="Times New Roman" w:cs="Times New Roman" w:eastAsiaTheme="minorHAnsi"/>
                <w:color w:val="000000"/>
                <w:sz w:val="24"/>
                <w:szCs w:val="24"/>
                <w:lang w:eastAsia="en-US"/>
              </w:rPr>
            </w:pPr>
          </w:p>
          <w:p w14:paraId="25FCC4E9">
            <w:pPr>
              <w:jc w:val="center"/>
              <w:rPr>
                <w:rFonts w:ascii="Times New Roman" w:hAnsi="Times New Roman" w:cs="Times New Roman" w:eastAsiaTheme="minorHAnsi"/>
                <w:color w:val="000000"/>
                <w:sz w:val="24"/>
                <w:szCs w:val="24"/>
                <w:lang w:eastAsia="en-US"/>
              </w:rPr>
            </w:pPr>
          </w:p>
          <w:p w14:paraId="17797728">
            <w:pPr>
              <w:jc w:val="center"/>
              <w:rPr>
                <w:rFonts w:ascii="Times New Roman" w:hAnsi="Times New Roman" w:cs="Times New Roman" w:eastAsiaTheme="minorHAnsi"/>
                <w:color w:val="000000"/>
                <w:sz w:val="24"/>
                <w:szCs w:val="24"/>
                <w:lang w:eastAsia="en-US"/>
              </w:rPr>
            </w:pPr>
          </w:p>
          <w:p w14:paraId="5762BBF8">
            <w:pPr>
              <w:jc w:val="center"/>
              <w:rPr>
                <w:rFonts w:ascii="Times New Roman" w:hAnsi="Times New Roman" w:cs="Times New Roman" w:eastAsiaTheme="minorHAnsi"/>
                <w:color w:val="000000"/>
                <w:sz w:val="24"/>
                <w:szCs w:val="24"/>
                <w:lang w:eastAsia="en-US"/>
              </w:rPr>
            </w:pPr>
          </w:p>
          <w:p w14:paraId="392A54BD">
            <w:pPr>
              <w:jc w:val="center"/>
              <w:rPr>
                <w:rFonts w:ascii="Times New Roman" w:hAnsi="Times New Roman" w:cs="Times New Roman" w:eastAsiaTheme="minorHAnsi"/>
                <w:color w:val="000000"/>
                <w:sz w:val="24"/>
                <w:szCs w:val="24"/>
                <w:lang w:eastAsia="en-US"/>
              </w:rPr>
            </w:pPr>
          </w:p>
          <w:p w14:paraId="3942F446">
            <w:pPr>
              <w:jc w:val="center"/>
              <w:rPr>
                <w:rFonts w:ascii="Times New Roman" w:hAnsi="Times New Roman" w:cs="Times New Roman" w:eastAsiaTheme="minorHAnsi"/>
                <w:color w:val="000000"/>
                <w:sz w:val="24"/>
                <w:szCs w:val="24"/>
                <w:lang w:eastAsia="en-US"/>
              </w:rPr>
            </w:pPr>
          </w:p>
          <w:p w14:paraId="322F4480">
            <w:pPr>
              <w:jc w:val="center"/>
              <w:rPr>
                <w:rFonts w:ascii="Times New Roman" w:hAnsi="Times New Roman" w:cs="Times New Roman" w:eastAsiaTheme="minorHAnsi"/>
                <w:color w:val="000000"/>
                <w:sz w:val="24"/>
                <w:szCs w:val="24"/>
                <w:lang w:eastAsia="en-US"/>
              </w:rPr>
            </w:pPr>
          </w:p>
          <w:p w14:paraId="15B1B467">
            <w:pPr>
              <w:jc w:val="center"/>
              <w:rPr>
                <w:rFonts w:ascii="Times New Roman" w:hAnsi="Times New Roman" w:cs="Times New Roman" w:eastAsiaTheme="minorHAnsi"/>
                <w:color w:val="000000"/>
                <w:sz w:val="24"/>
                <w:szCs w:val="24"/>
                <w:lang w:eastAsia="en-US"/>
              </w:rPr>
            </w:pPr>
          </w:p>
          <w:p w14:paraId="313B14AD">
            <w:pPr>
              <w:jc w:val="center"/>
              <w:rPr>
                <w:rFonts w:ascii="Times New Roman" w:hAnsi="Times New Roman" w:cs="Times New Roman" w:eastAsiaTheme="minorHAnsi"/>
                <w:color w:val="000000"/>
                <w:sz w:val="24"/>
                <w:szCs w:val="24"/>
                <w:lang w:eastAsia="en-US"/>
              </w:rPr>
            </w:pPr>
          </w:p>
          <w:p w14:paraId="4B729C41">
            <w:pPr>
              <w:jc w:val="center"/>
              <w:rPr>
                <w:rFonts w:ascii="Times New Roman" w:hAnsi="Times New Roman" w:cs="Times New Roman" w:eastAsiaTheme="minorHAnsi"/>
                <w:color w:val="000000"/>
                <w:sz w:val="24"/>
                <w:szCs w:val="24"/>
                <w:lang w:eastAsia="en-US"/>
              </w:rPr>
            </w:pPr>
          </w:p>
          <w:p w14:paraId="2E2C1F16">
            <w:pPr>
              <w:jc w:val="center"/>
              <w:rPr>
                <w:rFonts w:ascii="Times New Roman" w:hAnsi="Times New Roman" w:cs="Times New Roman" w:eastAsiaTheme="minorHAnsi"/>
                <w:color w:val="000000"/>
                <w:sz w:val="24"/>
                <w:szCs w:val="24"/>
                <w:lang w:eastAsia="en-US"/>
              </w:rPr>
            </w:pPr>
          </w:p>
          <w:p w14:paraId="66EB06B9">
            <w:pPr>
              <w:jc w:val="center"/>
              <w:rPr>
                <w:rFonts w:ascii="Times New Roman" w:hAnsi="Times New Roman" w:cs="Times New Roman" w:eastAsiaTheme="minorHAnsi"/>
                <w:color w:val="000000"/>
                <w:sz w:val="24"/>
                <w:szCs w:val="24"/>
                <w:lang w:eastAsia="en-US"/>
              </w:rPr>
            </w:pPr>
          </w:p>
          <w:p w14:paraId="7B4037AC">
            <w:pPr>
              <w:jc w:val="center"/>
              <w:rPr>
                <w:rFonts w:ascii="Times New Roman" w:hAnsi="Times New Roman" w:cs="Times New Roman" w:eastAsiaTheme="minorHAnsi"/>
                <w:color w:val="000000"/>
                <w:sz w:val="24"/>
                <w:szCs w:val="24"/>
                <w:lang w:eastAsia="en-US"/>
              </w:rPr>
            </w:pPr>
          </w:p>
          <w:p w14:paraId="0FCBEE87">
            <w:pPr>
              <w:jc w:val="center"/>
              <w:rPr>
                <w:rFonts w:ascii="Times New Roman" w:hAnsi="Times New Roman" w:cs="Times New Roman" w:eastAsiaTheme="minorHAnsi"/>
                <w:color w:val="000000"/>
                <w:sz w:val="24"/>
                <w:szCs w:val="24"/>
                <w:lang w:eastAsia="en-US"/>
              </w:rPr>
            </w:pPr>
          </w:p>
          <w:p w14:paraId="727D4D79">
            <w:pPr>
              <w:jc w:val="center"/>
              <w:rPr>
                <w:rFonts w:ascii="Times New Roman" w:hAnsi="Times New Roman" w:cs="Times New Roman" w:eastAsiaTheme="minorHAnsi"/>
                <w:color w:val="000000"/>
                <w:sz w:val="24"/>
                <w:szCs w:val="24"/>
                <w:lang w:eastAsia="en-US"/>
              </w:rPr>
            </w:pPr>
          </w:p>
          <w:p w14:paraId="450DDA0D">
            <w:pPr>
              <w:jc w:val="center"/>
              <w:rPr>
                <w:rFonts w:ascii="Times New Roman" w:hAnsi="Times New Roman" w:cs="Times New Roman" w:eastAsiaTheme="minorHAnsi"/>
                <w:color w:val="000000"/>
                <w:sz w:val="24"/>
                <w:szCs w:val="24"/>
                <w:lang w:eastAsia="en-US"/>
              </w:rPr>
            </w:pPr>
          </w:p>
          <w:p w14:paraId="286AA26F">
            <w:pPr>
              <w:jc w:val="center"/>
              <w:rPr>
                <w:rFonts w:ascii="Times New Roman" w:hAnsi="Times New Roman" w:cs="Times New Roman" w:eastAsiaTheme="minorHAnsi"/>
                <w:color w:val="000000"/>
                <w:sz w:val="24"/>
                <w:szCs w:val="24"/>
                <w:lang w:eastAsia="en-US"/>
              </w:rPr>
            </w:pPr>
          </w:p>
          <w:p w14:paraId="0600CEE1">
            <w:pPr>
              <w:jc w:val="center"/>
              <w:rPr>
                <w:rFonts w:ascii="Times New Roman" w:hAnsi="Times New Roman" w:cs="Times New Roman" w:eastAsiaTheme="minorHAnsi"/>
                <w:color w:val="000000"/>
                <w:sz w:val="24"/>
                <w:szCs w:val="24"/>
                <w:lang w:eastAsia="en-US"/>
              </w:rPr>
            </w:pPr>
          </w:p>
          <w:p w14:paraId="7F47F784">
            <w:pPr>
              <w:jc w:val="center"/>
              <w:rPr>
                <w:rFonts w:ascii="Times New Roman" w:hAnsi="Times New Roman" w:cs="Times New Roman" w:eastAsiaTheme="minorHAnsi"/>
                <w:color w:val="000000"/>
                <w:sz w:val="24"/>
                <w:szCs w:val="24"/>
                <w:lang w:eastAsia="en-US"/>
              </w:rPr>
            </w:pPr>
          </w:p>
          <w:p w14:paraId="20DA6DDC">
            <w:pPr>
              <w:jc w:val="center"/>
              <w:rPr>
                <w:rFonts w:ascii="Times New Roman" w:hAnsi="Times New Roman" w:cs="Times New Roman" w:eastAsiaTheme="minorHAnsi"/>
                <w:color w:val="000000"/>
                <w:sz w:val="24"/>
                <w:szCs w:val="24"/>
                <w:lang w:eastAsia="en-US"/>
              </w:rPr>
            </w:pPr>
          </w:p>
          <w:p w14:paraId="49172F6C">
            <w:pPr>
              <w:jc w:val="center"/>
              <w:rPr>
                <w:rFonts w:ascii="Times New Roman" w:hAnsi="Times New Roman" w:cs="Times New Roman" w:eastAsiaTheme="minorHAnsi"/>
                <w:color w:val="000000"/>
                <w:sz w:val="24"/>
                <w:szCs w:val="24"/>
                <w:lang w:eastAsia="en-US"/>
              </w:rPr>
            </w:pPr>
          </w:p>
          <w:p w14:paraId="29F0796B">
            <w:pPr>
              <w:jc w:val="center"/>
              <w:rPr>
                <w:rFonts w:ascii="Times New Roman" w:hAnsi="Times New Roman" w:cs="Times New Roman" w:eastAsiaTheme="minorHAnsi"/>
                <w:color w:val="000000"/>
                <w:sz w:val="24"/>
                <w:szCs w:val="24"/>
                <w:lang w:eastAsia="en-US"/>
              </w:rPr>
            </w:pPr>
          </w:p>
          <w:p w14:paraId="081E9164">
            <w:pPr>
              <w:jc w:val="center"/>
              <w:rPr>
                <w:rFonts w:ascii="Times New Roman" w:hAnsi="Times New Roman" w:cs="Times New Roman" w:eastAsiaTheme="minorHAnsi"/>
                <w:color w:val="000000"/>
                <w:sz w:val="24"/>
                <w:szCs w:val="24"/>
                <w:lang w:eastAsia="en-US"/>
              </w:rPr>
            </w:pPr>
          </w:p>
          <w:p w14:paraId="4564C045">
            <w:pPr>
              <w:jc w:val="center"/>
              <w:rPr>
                <w:rFonts w:ascii="Times New Roman" w:hAnsi="Times New Roman" w:cs="Times New Roman" w:eastAsiaTheme="minorHAnsi"/>
                <w:color w:val="000000"/>
                <w:sz w:val="24"/>
                <w:szCs w:val="24"/>
                <w:lang w:eastAsia="en-US"/>
              </w:rPr>
            </w:pPr>
          </w:p>
          <w:p w14:paraId="15085080">
            <w:pPr>
              <w:jc w:val="center"/>
              <w:rPr>
                <w:rFonts w:ascii="Times New Roman" w:hAnsi="Times New Roman" w:cs="Times New Roman" w:eastAsiaTheme="minorHAnsi"/>
                <w:color w:val="000000"/>
                <w:sz w:val="24"/>
                <w:szCs w:val="24"/>
                <w:lang w:eastAsia="en-US"/>
              </w:rPr>
            </w:pPr>
          </w:p>
          <w:p w14:paraId="7919ABAF">
            <w:pPr>
              <w:jc w:val="center"/>
              <w:rPr>
                <w:rFonts w:ascii="Times New Roman" w:hAnsi="Times New Roman" w:cs="Times New Roman" w:eastAsiaTheme="minorHAnsi"/>
                <w:color w:val="000000"/>
                <w:sz w:val="24"/>
                <w:szCs w:val="24"/>
                <w:lang w:eastAsia="en-US"/>
              </w:rPr>
            </w:pPr>
          </w:p>
          <w:p w14:paraId="33F22D4A">
            <w:pPr>
              <w:jc w:val="center"/>
              <w:rPr>
                <w:rFonts w:ascii="Times New Roman" w:hAnsi="Times New Roman" w:cs="Times New Roman" w:eastAsiaTheme="minorHAnsi"/>
                <w:color w:val="000000"/>
                <w:sz w:val="24"/>
                <w:szCs w:val="24"/>
                <w:lang w:eastAsia="en-US"/>
              </w:rPr>
            </w:pPr>
          </w:p>
          <w:p w14:paraId="7564F472">
            <w:pPr>
              <w:jc w:val="center"/>
              <w:rPr>
                <w:rFonts w:ascii="Times New Roman" w:hAnsi="Times New Roman" w:cs="Times New Roman" w:eastAsiaTheme="minorHAnsi"/>
                <w:color w:val="000000"/>
                <w:sz w:val="24"/>
                <w:szCs w:val="24"/>
                <w:lang w:eastAsia="en-US"/>
              </w:rPr>
            </w:pPr>
          </w:p>
          <w:p w14:paraId="393DAF6B">
            <w:pPr>
              <w:jc w:val="center"/>
              <w:rPr>
                <w:rFonts w:ascii="Times New Roman" w:hAnsi="Times New Roman" w:cs="Times New Roman" w:eastAsiaTheme="minorHAnsi"/>
                <w:color w:val="000000"/>
                <w:sz w:val="24"/>
                <w:szCs w:val="24"/>
                <w:lang w:eastAsia="en-US"/>
              </w:rPr>
            </w:pPr>
          </w:p>
          <w:p w14:paraId="32BB7A7A">
            <w:pPr>
              <w:jc w:val="center"/>
              <w:rPr>
                <w:rFonts w:ascii="Times New Roman" w:hAnsi="Times New Roman" w:cs="Times New Roman" w:eastAsiaTheme="minorHAnsi"/>
                <w:color w:val="000000"/>
                <w:sz w:val="24"/>
                <w:szCs w:val="24"/>
                <w:lang w:eastAsia="en-US"/>
              </w:rPr>
            </w:pPr>
          </w:p>
          <w:p w14:paraId="639ECF88">
            <w:pPr>
              <w:jc w:val="center"/>
              <w:rPr>
                <w:rFonts w:ascii="Times New Roman" w:hAnsi="Times New Roman" w:cs="Times New Roman" w:eastAsiaTheme="minorHAnsi"/>
                <w:color w:val="000000"/>
                <w:sz w:val="24"/>
                <w:szCs w:val="24"/>
                <w:lang w:eastAsia="en-US"/>
              </w:rPr>
            </w:pPr>
            <w:r>
              <w:rPr>
                <w:rFonts w:ascii="Times New Roman" w:hAnsi="Times New Roman" w:cs="Times New Roman" w:eastAsiaTheme="minorHAnsi"/>
                <w:color w:val="000000"/>
                <w:sz w:val="24"/>
                <w:szCs w:val="24"/>
                <w:lang w:eastAsia="en-US"/>
              </w:rPr>
              <w:t>01</w:t>
            </w:r>
          </w:p>
        </w:tc>
        <w:tc>
          <w:tcPr>
            <w:tcW w:w="1701" w:type="dxa"/>
            <w:shd w:val="clear" w:color="auto" w:fill="auto"/>
            <w:vAlign w:val="bottom"/>
          </w:tcPr>
          <w:p w14:paraId="4BAB80AA">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Monovolume</w:t>
            </w:r>
          </w:p>
          <w:p w14:paraId="5E8C8925">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minivan</w:t>
            </w:r>
          </w:p>
        </w:tc>
        <w:tc>
          <w:tcPr>
            <w:tcW w:w="3685" w:type="dxa"/>
            <w:shd w:val="clear" w:color="auto" w:fill="auto"/>
            <w:vAlign w:val="bottom"/>
          </w:tcPr>
          <w:p w14:paraId="3F48E4F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Veículo utilitário do tipo spin</w:t>
            </w:r>
          </w:p>
          <w:p w14:paraId="6A84DFD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novo, zero km, com as</w:t>
            </w:r>
          </w:p>
          <w:p w14:paraId="068D6FC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seguintes características:</w:t>
            </w:r>
          </w:p>
          <w:p w14:paraId="7B0662E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veículo de 7 lugares, na cor</w:t>
            </w:r>
          </w:p>
          <w:p w14:paraId="3F0E60C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branca, zero km, ano</w:t>
            </w:r>
          </w:p>
          <w:p w14:paraId="25A2EF1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2024/2025, controle de</w:t>
            </w:r>
          </w:p>
          <w:p w14:paraId="76BAD51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estabilidade e tração, travas</w:t>
            </w:r>
          </w:p>
          <w:p w14:paraId="788DB2B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segurança nas portas</w:t>
            </w:r>
          </w:p>
          <w:p w14:paraId="6F0EDF5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traseiras, airbag duplo e</w:t>
            </w:r>
          </w:p>
          <w:p w14:paraId="289AEEF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alarme antifurto, sistemas</w:t>
            </w:r>
          </w:p>
          <w:p w14:paraId="5ACF266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fixação isofix e top tether</w:t>
            </w:r>
          </w:p>
          <w:p w14:paraId="5801ADC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para cadeirinhas infantis,</w:t>
            </w:r>
          </w:p>
          <w:p w14:paraId="5374ECD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rodas são de alumínio aro</w:t>
            </w:r>
          </w:p>
          <w:p w14:paraId="47AE880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16' rodas alumínio 6,5j x 16,</w:t>
            </w:r>
          </w:p>
          <w:p w14:paraId="0DA5A74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pneus radiais 205/60 r16,</w:t>
            </w:r>
          </w:p>
          <w:p w14:paraId="270DFDE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capacidade de carga para</w:t>
            </w:r>
          </w:p>
          <w:p w14:paraId="5ED2042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162l e pode chegar a 553l</w:t>
            </w:r>
          </w:p>
          <w:p w14:paraId="39F5E3F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com o rebatimento do banco</w:t>
            </w:r>
          </w:p>
          <w:p w14:paraId="29387E5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traseiro, câmbio automático</w:t>
            </w:r>
          </w:p>
          <w:p w14:paraId="775374C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6 velocidades, direção</w:t>
            </w:r>
          </w:p>
          <w:p w14:paraId="57B3870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elétrica progressiva, motor</w:t>
            </w:r>
          </w:p>
          <w:p w14:paraId="1D4EF85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1.8 spe/4 eco de 4 cilindros</w:t>
            </w:r>
          </w:p>
          <w:p w14:paraId="79993C2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 111cv de potência,</w:t>
            </w:r>
          </w:p>
          <w:p w14:paraId="06A5804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bluetooth® e controles de</w:t>
            </w:r>
          </w:p>
          <w:p w14:paraId="1636209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rádio e telefone integrados</w:t>
            </w:r>
          </w:p>
          <w:p w14:paraId="358D3F0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ao volante, sensor de</w:t>
            </w:r>
          </w:p>
          <w:p w14:paraId="06B8119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estacionamento, câmera de</w:t>
            </w:r>
          </w:p>
          <w:p w14:paraId="5E88899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ré e central multimídia tela</w:t>
            </w:r>
          </w:p>
          <w:p w14:paraId="3713C36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touchscreen de 7 polegadas</w:t>
            </w:r>
          </w:p>
          <w:p w14:paraId="0C3CBDF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 de alta precisão, sistema</w:t>
            </w:r>
          </w:p>
          <w:p w14:paraId="1151256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freios hidráulico com</w:t>
            </w:r>
          </w:p>
          <w:p w14:paraId="71154E8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duplo circuito distribuído em</w:t>
            </w:r>
          </w:p>
          <w:p w14:paraId="5972E7B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diagonal, freios dianteiros a</w:t>
            </w:r>
          </w:p>
          <w:p w14:paraId="28301A6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disco ventilado, freios</w:t>
            </w:r>
          </w:p>
          <w:p w14:paraId="5871500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traseiros a tambor,</w:t>
            </w:r>
          </w:p>
          <w:p w14:paraId="0E183DB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suspensão dianteira</w:t>
            </w:r>
          </w:p>
          <w:p w14:paraId="5304642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independente tipo</w:t>
            </w:r>
          </w:p>
          <w:p w14:paraId="6A8321B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"Mcpherson" / barra</w:t>
            </w:r>
          </w:p>
          <w:p w14:paraId="43B1DC8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estabilizadora ligada a haste</w:t>
            </w:r>
          </w:p>
          <w:p w14:paraId="1966C9F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tensora /molas helicoidais</w:t>
            </w:r>
          </w:p>
          <w:p w14:paraId="175FD4A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com carga lateral linear</w:t>
            </w:r>
          </w:p>
          <w:p w14:paraId="526E4AD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amortecedor telescópico</w:t>
            </w:r>
          </w:p>
          <w:p w14:paraId="6C3AB03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pressurizado estrutural,</w:t>
            </w:r>
          </w:p>
          <w:p w14:paraId="2287F79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suspensão traseira</w:t>
            </w:r>
          </w:p>
          <w:p w14:paraId="5532373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semiindependente com eixo</w:t>
            </w:r>
          </w:p>
          <w:p w14:paraId="027C3CC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torção / barra</w:t>
            </w:r>
          </w:p>
          <w:p w14:paraId="7152CFE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 xml:space="preserve">estabilizadora soldada no </w:t>
            </w:r>
            <w:r>
              <w:rPr>
                <w:rFonts w:asciiTheme="minorHAnsi" w:hAnsiTheme="minorHAnsi" w:eastAsiaTheme="minorHAnsi" w:cstheme="minorBidi"/>
                <w:sz w:val="22"/>
                <w:szCs w:val="22"/>
                <w:lang w:eastAsia="en-US"/>
              </w:rPr>
              <w:t xml:space="preserve"> </w:t>
            </w:r>
            <w:r>
              <w:rPr>
                <w:rFonts w:ascii="Times New Roman" w:hAnsi="Times New Roman" w:eastAsia="SimSun" w:cs="Times New Roman"/>
                <w:color w:val="000000"/>
                <w:sz w:val="24"/>
                <w:szCs w:val="24"/>
                <w:lang w:eastAsia="zh-CN" w:bidi="ar"/>
              </w:rPr>
              <w:t>eixo traseiro / mola</w:t>
            </w:r>
          </w:p>
          <w:p w14:paraId="10FE94A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helicoidal com constante</w:t>
            </w:r>
          </w:p>
          <w:p w14:paraId="1199AC4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elástica linear / amortecedor</w:t>
            </w:r>
          </w:p>
          <w:p w14:paraId="4F73D37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telescópico pressurizado,</w:t>
            </w:r>
          </w:p>
          <w:p w14:paraId="2983B59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tanque de combustível 53</w:t>
            </w:r>
          </w:p>
          <w:p w14:paraId="3CD9973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litros. Destinado a Secretaria</w:t>
            </w:r>
          </w:p>
          <w:p w14:paraId="50762A2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Municipal de Saúde.</w:t>
            </w:r>
          </w:p>
        </w:tc>
        <w:tc>
          <w:tcPr>
            <w:tcW w:w="1559" w:type="dxa"/>
            <w:shd w:val="clear" w:color="auto" w:fill="auto"/>
            <w:vAlign w:val="bottom"/>
          </w:tcPr>
          <w:p w14:paraId="603B1E1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R$160.447,06</w:t>
            </w:r>
          </w:p>
        </w:tc>
        <w:tc>
          <w:tcPr>
            <w:tcW w:w="1961" w:type="dxa"/>
            <w:shd w:val="clear" w:color="auto" w:fill="auto"/>
            <w:vAlign w:val="bottom"/>
          </w:tcPr>
          <w:p w14:paraId="56FE139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R$160,447,06</w:t>
            </w:r>
          </w:p>
        </w:tc>
      </w:tr>
      <w:tr w14:paraId="5533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129" w:type="dxa"/>
            <w:shd w:val="clear" w:color="auto" w:fill="auto"/>
          </w:tcPr>
          <w:p w14:paraId="3128CB5C">
            <w:pPr>
              <w:jc w:val="right"/>
              <w:textAlignment w:val="top"/>
              <w:rPr>
                <w:rFonts w:ascii="Times New Roman" w:hAnsi="Times New Roman" w:eastAsia="SimSun" w:cs="Times New Roman"/>
                <w:color w:val="000000"/>
                <w:sz w:val="24"/>
                <w:szCs w:val="24"/>
                <w:lang w:val="en-US" w:eastAsia="zh-CN" w:bidi="ar"/>
              </w:rPr>
            </w:pPr>
          </w:p>
        </w:tc>
        <w:tc>
          <w:tcPr>
            <w:tcW w:w="993" w:type="dxa"/>
            <w:shd w:val="clear" w:color="auto" w:fill="auto"/>
          </w:tcPr>
          <w:p w14:paraId="050E5EAB">
            <w:pPr>
              <w:jc w:val="center"/>
              <w:rPr>
                <w:rFonts w:ascii="Times New Roman" w:hAnsi="Times New Roman" w:cs="Times New Roman" w:eastAsiaTheme="minorHAnsi"/>
                <w:sz w:val="24"/>
                <w:szCs w:val="24"/>
                <w:lang w:eastAsia="en-US"/>
              </w:rPr>
            </w:pPr>
          </w:p>
        </w:tc>
        <w:tc>
          <w:tcPr>
            <w:tcW w:w="1701" w:type="dxa"/>
            <w:shd w:val="clear" w:color="auto" w:fill="auto"/>
          </w:tcPr>
          <w:p w14:paraId="13527C39">
            <w:pPr>
              <w:rPr>
                <w:rFonts w:ascii="Times New Roman" w:hAnsi="Times New Roman" w:cs="Times New Roman" w:eastAsiaTheme="minorHAnsi"/>
                <w:b/>
                <w:color w:val="000000"/>
                <w:sz w:val="24"/>
                <w:szCs w:val="24"/>
                <w:lang w:eastAsia="en-US"/>
              </w:rPr>
            </w:pPr>
            <w:r>
              <w:rPr>
                <w:rFonts w:ascii="Times New Roman" w:hAnsi="Times New Roman" w:cs="Times New Roman" w:eastAsiaTheme="minorHAnsi"/>
                <w:b/>
                <w:color w:val="000000"/>
                <w:sz w:val="24"/>
                <w:szCs w:val="24"/>
                <w:lang w:eastAsia="en-US"/>
              </w:rPr>
              <w:t>TOTAL:</w:t>
            </w:r>
          </w:p>
        </w:tc>
        <w:tc>
          <w:tcPr>
            <w:tcW w:w="3685" w:type="dxa"/>
          </w:tcPr>
          <w:p w14:paraId="5E744FBA">
            <w:pPr>
              <w:pStyle w:val="77"/>
              <w:jc w:val="center"/>
              <w:rPr>
                <w:rFonts w:ascii="Times New Roman" w:hAnsi="Times New Roman" w:eastAsia="SimSun" w:cs="Times New Roman"/>
                <w:sz w:val="24"/>
                <w:szCs w:val="24"/>
                <w:lang w:eastAsia="en-US"/>
              </w:rPr>
            </w:pPr>
          </w:p>
        </w:tc>
        <w:tc>
          <w:tcPr>
            <w:tcW w:w="1559" w:type="dxa"/>
            <w:shd w:val="clear" w:color="auto" w:fill="auto"/>
            <w:vAlign w:val="bottom"/>
          </w:tcPr>
          <w:p w14:paraId="2F23752D">
            <w:pPr>
              <w:jc w:val="center"/>
              <w:textAlignment w:val="bottom"/>
              <w:rPr>
                <w:rFonts w:ascii="Times New Roman" w:hAnsi="Times New Roman" w:eastAsia="SimSun" w:cs="Times New Roman"/>
                <w:color w:val="000000"/>
                <w:sz w:val="24"/>
                <w:szCs w:val="24"/>
                <w:lang w:eastAsia="zh-CN" w:bidi="ar"/>
              </w:rPr>
            </w:pPr>
          </w:p>
        </w:tc>
        <w:tc>
          <w:tcPr>
            <w:tcW w:w="1961" w:type="dxa"/>
            <w:shd w:val="clear" w:color="auto" w:fill="auto"/>
            <w:vAlign w:val="bottom"/>
          </w:tcPr>
          <w:p w14:paraId="7E531AAF">
            <w:pPr>
              <w:jc w:val="center"/>
              <w:textAlignment w:val="bottom"/>
              <w:rPr>
                <w:rFonts w:ascii="Times New Roman" w:hAnsi="Times New Roman" w:eastAsia="SimSun" w:cs="Times New Roman"/>
                <w:b/>
                <w:color w:val="000000"/>
                <w:sz w:val="24"/>
                <w:szCs w:val="24"/>
                <w:lang w:eastAsia="zh-CN" w:bidi="ar"/>
              </w:rPr>
            </w:pPr>
            <w:r>
              <w:rPr>
                <w:rFonts w:ascii="Times New Roman" w:hAnsi="Times New Roman" w:eastAsia="SimSun" w:cs="Times New Roman"/>
                <w:b/>
                <w:color w:val="000000"/>
                <w:sz w:val="24"/>
                <w:szCs w:val="24"/>
                <w:lang w:eastAsia="zh-CN" w:bidi="ar"/>
              </w:rPr>
              <w:t>R$ 544.604,26</w:t>
            </w:r>
          </w:p>
        </w:tc>
      </w:tr>
    </w:tbl>
    <w:p w14:paraId="418A1A3B">
      <w:pPr>
        <w:pStyle w:val="77"/>
        <w:spacing w:line="360" w:lineRule="auto"/>
        <w:jc w:val="center"/>
        <w:rPr>
          <w:rFonts w:ascii="Times New Roman" w:hAnsi="Times New Roman" w:eastAsia="Times New Roman" w:cs="Times New Roman"/>
          <w:b/>
          <w:sz w:val="24"/>
          <w:szCs w:val="24"/>
        </w:rPr>
      </w:pPr>
    </w:p>
    <w:p w14:paraId="38806CF5">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2A361FF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975F1C4">
      <w:pPr>
        <w:pStyle w:val="99"/>
        <w:spacing w:before="288" w:beforeLines="120" w:after="288" w:afterLines="120" w:line="288" w:lineRule="auto"/>
        <w:ind w:left="0" w:firstLine="0"/>
        <w:contextualSpacing/>
        <w:rPr>
          <w:rFonts w:ascii="Times New Roman" w:hAnsi="Times New Roman" w:cs="Times New Roman"/>
          <w:sz w:val="24"/>
          <w:szCs w:val="24"/>
        </w:rPr>
      </w:pPr>
    </w:p>
    <w:p w14:paraId="3CC8E9A2">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2B7C864">
      <w:pPr>
        <w:pStyle w:val="99"/>
        <w:spacing w:before="288" w:beforeLines="120" w:after="288" w:afterLines="120" w:line="288" w:lineRule="auto"/>
        <w:ind w:left="0" w:firstLine="0"/>
        <w:contextualSpacing/>
        <w:rPr>
          <w:rFonts w:ascii="Times New Roman" w:hAnsi="Times New Roman" w:cs="Times New Roman"/>
          <w:sz w:val="24"/>
          <w:szCs w:val="24"/>
        </w:rPr>
      </w:pPr>
    </w:p>
    <w:p w14:paraId="5F8F645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B0855EA">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29D4BE5D">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Saúde,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transportesmsvalenca@gmail.com</w:t>
      </w:r>
    </w:p>
    <w:p w14:paraId="6197ACC8">
      <w:pPr>
        <w:pStyle w:val="99"/>
        <w:spacing w:line="288" w:lineRule="auto"/>
        <w:ind w:left="0" w:firstLine="0"/>
        <w:contextualSpacing/>
        <w:rPr>
          <w:rFonts w:ascii="Times New Roman" w:hAnsi="Times New Roman" w:cs="Times New Roman"/>
          <w:sz w:val="24"/>
          <w:szCs w:val="24"/>
        </w:rPr>
      </w:pPr>
    </w:p>
    <w:p w14:paraId="12CC5AF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44C95A5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B9B9B6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1BA6FDBE">
      <w:pPr>
        <w:pStyle w:val="99"/>
        <w:spacing w:line="288" w:lineRule="auto"/>
        <w:ind w:left="0" w:firstLine="0"/>
        <w:contextualSpacing/>
        <w:rPr>
          <w:rFonts w:ascii="Times New Roman" w:hAnsi="Times New Roman" w:cs="Times New Roman"/>
          <w:sz w:val="24"/>
          <w:szCs w:val="24"/>
        </w:rPr>
      </w:pPr>
    </w:p>
    <w:p w14:paraId="706124C8">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59CD06CA">
      <w:pPr>
        <w:pStyle w:val="99"/>
        <w:spacing w:line="288" w:lineRule="auto"/>
        <w:ind w:left="0" w:firstLine="0"/>
        <w:contextualSpacing/>
        <w:rPr>
          <w:rFonts w:ascii="Times New Roman" w:hAnsi="Times New Roman" w:cs="Times New Roman"/>
          <w:sz w:val="24"/>
          <w:szCs w:val="24"/>
        </w:rPr>
      </w:pPr>
    </w:p>
    <w:p w14:paraId="298A503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A345035">
      <w:pPr>
        <w:pStyle w:val="99"/>
        <w:spacing w:line="288" w:lineRule="auto"/>
        <w:ind w:left="0" w:firstLine="0"/>
        <w:contextualSpacing/>
        <w:rPr>
          <w:rFonts w:ascii="Times New Roman" w:hAnsi="Times New Roman" w:cs="Times New Roman"/>
          <w:sz w:val="24"/>
          <w:szCs w:val="24"/>
        </w:rPr>
      </w:pPr>
    </w:p>
    <w:p w14:paraId="03F5CF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81CCDD4">
      <w:pPr>
        <w:pStyle w:val="99"/>
        <w:spacing w:line="288" w:lineRule="auto"/>
        <w:ind w:left="0" w:firstLine="0"/>
        <w:contextualSpacing/>
        <w:rPr>
          <w:rFonts w:ascii="Times New Roman" w:hAnsi="Times New Roman" w:cs="Times New Roman"/>
          <w:sz w:val="24"/>
          <w:szCs w:val="24"/>
        </w:rPr>
      </w:pPr>
    </w:p>
    <w:p w14:paraId="5410EF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8D3C309">
      <w:pPr>
        <w:pStyle w:val="99"/>
        <w:spacing w:line="288" w:lineRule="auto"/>
        <w:ind w:left="0" w:firstLine="0"/>
        <w:contextualSpacing/>
        <w:rPr>
          <w:rFonts w:ascii="Times New Roman" w:hAnsi="Times New Roman" w:cs="Times New Roman"/>
          <w:sz w:val="24"/>
          <w:szCs w:val="24"/>
        </w:rPr>
      </w:pPr>
    </w:p>
    <w:p w14:paraId="5EEDE8F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68101F01">
      <w:pPr>
        <w:pStyle w:val="99"/>
        <w:spacing w:line="288" w:lineRule="auto"/>
        <w:ind w:left="0" w:firstLine="0"/>
        <w:contextualSpacing/>
        <w:rPr>
          <w:rFonts w:ascii="Times New Roman" w:hAnsi="Times New Roman" w:cs="Times New Roman"/>
          <w:sz w:val="24"/>
          <w:szCs w:val="24"/>
        </w:rPr>
      </w:pPr>
    </w:p>
    <w:p w14:paraId="4D82552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1C0AD487">
      <w:pPr>
        <w:pStyle w:val="99"/>
        <w:spacing w:line="288" w:lineRule="auto"/>
        <w:ind w:left="0" w:firstLine="0"/>
        <w:contextualSpacing/>
        <w:rPr>
          <w:rFonts w:ascii="Times New Roman" w:hAnsi="Times New Roman" w:cs="Times New Roman"/>
          <w:sz w:val="24"/>
          <w:szCs w:val="24"/>
        </w:rPr>
      </w:pPr>
    </w:p>
    <w:p w14:paraId="6687FA7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9A05C49">
      <w:pPr>
        <w:pStyle w:val="99"/>
        <w:spacing w:line="288" w:lineRule="auto"/>
        <w:ind w:left="0" w:firstLine="0"/>
        <w:contextualSpacing/>
        <w:rPr>
          <w:rFonts w:ascii="Times New Roman" w:hAnsi="Times New Roman" w:cs="Times New Roman"/>
          <w:sz w:val="24"/>
          <w:szCs w:val="24"/>
        </w:rPr>
      </w:pPr>
    </w:p>
    <w:p w14:paraId="680100B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098515B2">
      <w:pPr>
        <w:pStyle w:val="99"/>
        <w:spacing w:line="288" w:lineRule="auto"/>
        <w:ind w:left="0" w:firstLine="0"/>
        <w:contextualSpacing/>
        <w:rPr>
          <w:rFonts w:ascii="Times New Roman" w:hAnsi="Times New Roman" w:cs="Times New Roman"/>
          <w:sz w:val="24"/>
          <w:szCs w:val="24"/>
        </w:rPr>
      </w:pPr>
    </w:p>
    <w:p w14:paraId="519DFD6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350EDA38">
      <w:pPr>
        <w:pStyle w:val="99"/>
        <w:spacing w:line="288" w:lineRule="auto"/>
        <w:ind w:left="0" w:firstLine="0"/>
        <w:contextualSpacing/>
        <w:rPr>
          <w:rFonts w:ascii="Times New Roman" w:hAnsi="Times New Roman" w:cs="Times New Roman"/>
          <w:sz w:val="24"/>
          <w:szCs w:val="24"/>
        </w:rPr>
      </w:pPr>
    </w:p>
    <w:p w14:paraId="15D6579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5AEBB72A">
      <w:pPr>
        <w:pStyle w:val="99"/>
        <w:spacing w:line="288" w:lineRule="auto"/>
        <w:ind w:left="0" w:firstLine="0"/>
        <w:contextualSpacing/>
        <w:rPr>
          <w:rFonts w:ascii="Times New Roman" w:hAnsi="Times New Roman" w:cs="Times New Roman"/>
          <w:sz w:val="24"/>
          <w:szCs w:val="24"/>
        </w:rPr>
      </w:pPr>
    </w:p>
    <w:p w14:paraId="1FDEA8A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BF86203">
      <w:pPr>
        <w:pStyle w:val="99"/>
        <w:spacing w:line="288" w:lineRule="auto"/>
        <w:ind w:left="0" w:firstLine="0"/>
        <w:contextualSpacing/>
        <w:rPr>
          <w:rFonts w:ascii="Times New Roman" w:hAnsi="Times New Roman" w:cs="Times New Roman"/>
          <w:sz w:val="24"/>
          <w:szCs w:val="24"/>
        </w:rPr>
      </w:pPr>
    </w:p>
    <w:p w14:paraId="42D4DD0A">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B309B33">
      <w:pPr>
        <w:pStyle w:val="99"/>
        <w:spacing w:line="288" w:lineRule="auto"/>
        <w:ind w:left="0" w:firstLine="0"/>
        <w:contextualSpacing/>
        <w:rPr>
          <w:rFonts w:ascii="Times New Roman" w:hAnsi="Times New Roman" w:cs="Times New Roman"/>
          <w:sz w:val="24"/>
          <w:szCs w:val="24"/>
        </w:rPr>
      </w:pPr>
    </w:p>
    <w:p w14:paraId="12BEFA2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4390538F">
      <w:pPr>
        <w:pStyle w:val="99"/>
        <w:spacing w:line="288" w:lineRule="auto"/>
        <w:ind w:left="0" w:firstLine="0"/>
        <w:contextualSpacing/>
        <w:rPr>
          <w:rFonts w:ascii="Times New Roman" w:hAnsi="Times New Roman" w:cs="Times New Roman"/>
          <w:sz w:val="24"/>
          <w:szCs w:val="24"/>
        </w:rPr>
      </w:pPr>
    </w:p>
    <w:p w14:paraId="12E26C2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135C7196">
      <w:pPr>
        <w:pStyle w:val="99"/>
        <w:spacing w:line="288" w:lineRule="auto"/>
        <w:ind w:left="0" w:firstLine="0"/>
        <w:contextualSpacing/>
        <w:rPr>
          <w:rFonts w:ascii="Times New Roman" w:hAnsi="Times New Roman" w:cs="Times New Roman"/>
          <w:sz w:val="24"/>
          <w:szCs w:val="24"/>
        </w:rPr>
      </w:pPr>
    </w:p>
    <w:p w14:paraId="5C7E314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DEABBD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r>
        <w:rPr>
          <w:rFonts w:ascii="Times New Roman" w:hAnsi="Times New Roman" w:cs="Times New Roman"/>
          <w:color w:val="auto"/>
        </w:rPr>
        <w:t xml:space="preserve">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04 de fevereiro</w:t>
      </w:r>
      <w:r>
        <w:rPr>
          <w:rFonts w:ascii="Times New Roman" w:hAnsi="Times New Roman" w:eastAsia="MS Mincho" w:cs="Times New Roman"/>
          <w:sz w:val="24"/>
          <w:szCs w:val="24"/>
        </w:rPr>
        <w:t xml:space="preserve"> de </w:t>
      </w:r>
      <w:r>
        <w:rPr>
          <w:rFonts w:ascii="Times New Roman" w:hAnsi="Times New Roman" w:eastAsia="MS Mincho" w:cs="Times New Roman"/>
          <w:color w:val="000000" w:themeColor="text1"/>
          <w:sz w:val="24"/>
          <w:szCs w:val="24"/>
          <w14:textFill>
            <w14:solidFill>
              <w14:schemeClr w14:val="tx1"/>
            </w14:solidFill>
          </w14:textFill>
        </w:rPr>
        <w:t>202</w:t>
      </w:r>
      <w:r>
        <w:rPr>
          <w:rFonts w:hint="default" w:ascii="Times New Roman" w:hAnsi="Times New Roman" w:eastAsia="MS Mincho" w:cs="Times New Roman"/>
          <w:color w:val="000000" w:themeColor="text1"/>
          <w:sz w:val="24"/>
          <w:szCs w:val="24"/>
          <w:lang w:val="pt-BR"/>
          <w14:textFill>
            <w14:solidFill>
              <w14:schemeClr w14:val="tx1"/>
            </w14:solidFill>
          </w14:textFill>
        </w:rPr>
        <w:t>6</w:t>
      </w:r>
      <w:bookmarkStart w:id="54" w:name="_GoBack"/>
      <w:bookmarkEnd w:id="54"/>
    </w:p>
    <w:p w14:paraId="12E60D5B">
      <w:pPr>
        <w:spacing w:before="288" w:beforeLines="120" w:after="288" w:afterLines="120" w:line="288" w:lineRule="auto"/>
        <w:contextualSpacing/>
        <w:jc w:val="center"/>
        <w:rPr>
          <w:rFonts w:eastAsia="MS Mincho"/>
          <w:b/>
          <w:color w:val="FF0000"/>
          <w:sz w:val="24"/>
          <w:szCs w:val="24"/>
        </w:rPr>
      </w:pPr>
    </w:p>
    <w:p w14:paraId="73F1BC42">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1BD0385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u w:val="single"/>
        </w:rPr>
        <w:t>TERMO DE REFERÊNCIA</w:t>
      </w:r>
    </w:p>
    <w:p w14:paraId="2A94060C">
      <w:pPr>
        <w:spacing w:line="368" w:lineRule="auto"/>
        <w:ind w:left="720" w:right="16"/>
        <w:rPr>
          <w:b/>
          <w:sz w:val="24"/>
          <w:szCs w:val="24"/>
          <w:u w:val="single"/>
        </w:rPr>
      </w:pPr>
    </w:p>
    <w:p w14:paraId="0236C3A1">
      <w:pPr>
        <w:spacing w:before="288" w:beforeLines="120" w:after="288" w:afterLines="120" w:line="288" w:lineRule="auto"/>
        <w:rPr>
          <w:sz w:val="24"/>
          <w:szCs w:val="24"/>
        </w:rPr>
      </w:pPr>
      <w:r>
        <w:rPr>
          <w:sz w:val="24"/>
          <w:szCs w:val="24"/>
        </w:rPr>
        <w:t>Considerando as disposições da Lei nº 14.133/2021 e suas posteriores alterações, a Prefeitura Municipal de Valença – RJ, realizará processo licitatório, na modalidade Pregão Eletrônico, através do Sistema de Registro de Preços, objetivando a AQUISIÇÃO FUTURA DE VEÍCULOS – para fins de atendimento a SECRETARIA MUNICIPAL DE SAÚDE.</w:t>
      </w:r>
    </w:p>
    <w:p w14:paraId="09FB9BC2">
      <w:pPr>
        <w:spacing w:before="288" w:beforeLines="120" w:after="288" w:afterLines="120" w:line="288" w:lineRule="auto"/>
        <w:rPr>
          <w:b/>
          <w:sz w:val="24"/>
          <w:szCs w:val="24"/>
        </w:rPr>
      </w:pPr>
      <w:r>
        <w:rPr>
          <w:b/>
          <w:sz w:val="24"/>
          <w:szCs w:val="24"/>
        </w:rPr>
        <w:t>1. CONDIÇÕES GERAIS DA CONTRATAÇÃO (art. 6.º, XXIII, ‘a’ da Lei n.º 14.133/2021)</w:t>
      </w:r>
    </w:p>
    <w:p w14:paraId="6758D483">
      <w:pPr>
        <w:spacing w:before="288" w:beforeLines="120" w:after="288" w:afterLines="120" w:line="288" w:lineRule="auto"/>
        <w:rPr>
          <w:sz w:val="24"/>
          <w:szCs w:val="24"/>
        </w:rPr>
      </w:pPr>
      <w:r>
        <w:rPr>
          <w:sz w:val="24"/>
          <w:szCs w:val="24"/>
        </w:rPr>
        <w:t>1.1. O presente Termo de Referência tem por objeto a AQUISIÇÃO FUTURA DE veículos, nos termos da tabela abaixo, conforme condições e exigências estabelecidas neste instrumento.</w:t>
      </w:r>
    </w:p>
    <w:tbl>
      <w:tblPr>
        <w:tblStyle w:val="37"/>
        <w:tblpPr w:leftFromText="180" w:rightFromText="180" w:vertAnchor="text" w:horzAnchor="page" w:tblpX="621" w:tblpY="495"/>
        <w:tblOverlap w:val="never"/>
        <w:tblW w:w="11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93"/>
        <w:gridCol w:w="1701"/>
        <w:gridCol w:w="3685"/>
        <w:gridCol w:w="1559"/>
        <w:gridCol w:w="1961"/>
      </w:tblGrid>
      <w:tr w14:paraId="3DE4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71318A90">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ITEM</w:t>
            </w:r>
          </w:p>
        </w:tc>
        <w:tc>
          <w:tcPr>
            <w:tcW w:w="993" w:type="dxa"/>
            <w:shd w:val="clear" w:color="auto" w:fill="auto"/>
          </w:tcPr>
          <w:p w14:paraId="149DB638">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UNID/QUANT.</w:t>
            </w:r>
          </w:p>
        </w:tc>
        <w:tc>
          <w:tcPr>
            <w:tcW w:w="1701" w:type="dxa"/>
            <w:shd w:val="clear" w:color="auto" w:fill="auto"/>
          </w:tcPr>
          <w:p w14:paraId="01643839">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DESCRIÇÃO</w:t>
            </w:r>
          </w:p>
        </w:tc>
        <w:tc>
          <w:tcPr>
            <w:tcW w:w="3685" w:type="dxa"/>
            <w:shd w:val="clear" w:color="auto" w:fill="auto"/>
          </w:tcPr>
          <w:p w14:paraId="7CCD86D2">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ESPECIFICAÇÃO</w:t>
            </w:r>
          </w:p>
        </w:tc>
        <w:tc>
          <w:tcPr>
            <w:tcW w:w="1559" w:type="dxa"/>
          </w:tcPr>
          <w:p w14:paraId="73BA1542">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UNITÁRIO</w:t>
            </w:r>
          </w:p>
        </w:tc>
        <w:tc>
          <w:tcPr>
            <w:tcW w:w="1961" w:type="dxa"/>
          </w:tcPr>
          <w:p w14:paraId="44CE6ACE">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TOTAL</w:t>
            </w:r>
          </w:p>
        </w:tc>
      </w:tr>
      <w:tr w14:paraId="0742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76D15A58">
            <w:pPr>
              <w:jc w:val="center"/>
              <w:rPr>
                <w:rFonts w:ascii="Times New Roman" w:hAnsi="Times New Roman" w:eastAsia="SimSun" w:cs="Times New Roman"/>
                <w:kern w:val="3"/>
                <w:sz w:val="24"/>
                <w:szCs w:val="24"/>
                <w:lang w:eastAsia="en-US" w:bidi="hi-IN"/>
              </w:rPr>
            </w:pPr>
          </w:p>
          <w:p w14:paraId="5883E804">
            <w:pPr>
              <w:jc w:val="center"/>
              <w:rPr>
                <w:rFonts w:ascii="Times New Roman" w:hAnsi="Times New Roman" w:eastAsia="SimSun" w:cs="Times New Roman"/>
                <w:kern w:val="3"/>
                <w:sz w:val="24"/>
                <w:szCs w:val="24"/>
                <w:lang w:eastAsia="en-US" w:bidi="hi-IN"/>
              </w:rPr>
            </w:pPr>
          </w:p>
          <w:p w14:paraId="5768B9A5">
            <w:pPr>
              <w:jc w:val="center"/>
              <w:rPr>
                <w:rFonts w:ascii="Times New Roman" w:hAnsi="Times New Roman" w:eastAsia="SimSun" w:cs="Times New Roman"/>
                <w:kern w:val="3"/>
                <w:sz w:val="24"/>
                <w:szCs w:val="24"/>
                <w:lang w:eastAsia="en-US" w:bidi="hi-IN"/>
              </w:rPr>
            </w:pPr>
          </w:p>
          <w:p w14:paraId="67A6C0C3">
            <w:pPr>
              <w:jc w:val="center"/>
              <w:rPr>
                <w:rFonts w:ascii="Times New Roman" w:hAnsi="Times New Roman" w:eastAsia="SimSun" w:cs="Times New Roman"/>
                <w:kern w:val="3"/>
                <w:sz w:val="24"/>
                <w:szCs w:val="24"/>
                <w:lang w:eastAsia="en-US" w:bidi="hi-IN"/>
              </w:rPr>
            </w:pPr>
          </w:p>
          <w:p w14:paraId="033DE02C">
            <w:pPr>
              <w:jc w:val="center"/>
              <w:rPr>
                <w:rFonts w:ascii="Times New Roman" w:hAnsi="Times New Roman" w:eastAsia="SimSun" w:cs="Times New Roman"/>
                <w:kern w:val="3"/>
                <w:sz w:val="24"/>
                <w:szCs w:val="24"/>
                <w:lang w:eastAsia="en-US" w:bidi="hi-IN"/>
              </w:rPr>
            </w:pPr>
          </w:p>
          <w:p w14:paraId="77CD979A">
            <w:pPr>
              <w:jc w:val="center"/>
              <w:rPr>
                <w:rFonts w:ascii="Times New Roman" w:hAnsi="Times New Roman" w:eastAsia="SimSun" w:cs="Times New Roman"/>
                <w:kern w:val="3"/>
                <w:sz w:val="24"/>
                <w:szCs w:val="24"/>
                <w:lang w:eastAsia="en-US" w:bidi="hi-IN"/>
              </w:rPr>
            </w:pPr>
          </w:p>
          <w:p w14:paraId="253DE1D1">
            <w:pPr>
              <w:jc w:val="center"/>
              <w:rPr>
                <w:rFonts w:ascii="Times New Roman" w:hAnsi="Times New Roman" w:eastAsia="SimSun" w:cs="Times New Roman"/>
                <w:kern w:val="3"/>
                <w:sz w:val="24"/>
                <w:szCs w:val="24"/>
                <w:lang w:eastAsia="en-US" w:bidi="hi-IN"/>
              </w:rPr>
            </w:pPr>
          </w:p>
          <w:p w14:paraId="520CC480">
            <w:pPr>
              <w:jc w:val="center"/>
              <w:rPr>
                <w:rFonts w:ascii="Times New Roman" w:hAnsi="Times New Roman" w:eastAsia="SimSun" w:cs="Times New Roman"/>
                <w:kern w:val="3"/>
                <w:sz w:val="24"/>
                <w:szCs w:val="24"/>
                <w:lang w:eastAsia="en-US" w:bidi="hi-IN"/>
              </w:rPr>
            </w:pPr>
          </w:p>
          <w:p w14:paraId="4EDB3778">
            <w:pPr>
              <w:jc w:val="center"/>
              <w:rPr>
                <w:rFonts w:ascii="Times New Roman" w:hAnsi="Times New Roman" w:eastAsia="SimSun" w:cs="Times New Roman"/>
                <w:kern w:val="3"/>
                <w:sz w:val="24"/>
                <w:szCs w:val="24"/>
                <w:lang w:eastAsia="en-US" w:bidi="hi-IN"/>
              </w:rPr>
            </w:pPr>
          </w:p>
          <w:p w14:paraId="4AEBCFAF">
            <w:pPr>
              <w:jc w:val="center"/>
              <w:rPr>
                <w:rFonts w:ascii="Times New Roman" w:hAnsi="Times New Roman" w:eastAsia="SimSun" w:cs="Times New Roman"/>
                <w:kern w:val="3"/>
                <w:sz w:val="24"/>
                <w:szCs w:val="24"/>
                <w:lang w:eastAsia="en-US" w:bidi="hi-IN"/>
              </w:rPr>
            </w:pPr>
          </w:p>
          <w:p w14:paraId="538B454A">
            <w:pPr>
              <w:jc w:val="center"/>
              <w:rPr>
                <w:rFonts w:ascii="Times New Roman" w:hAnsi="Times New Roman" w:eastAsia="SimSun" w:cs="Times New Roman"/>
                <w:kern w:val="3"/>
                <w:sz w:val="24"/>
                <w:szCs w:val="24"/>
                <w:lang w:eastAsia="en-US" w:bidi="hi-IN"/>
              </w:rPr>
            </w:pPr>
          </w:p>
          <w:p w14:paraId="20EE041F">
            <w:pPr>
              <w:jc w:val="center"/>
              <w:rPr>
                <w:rFonts w:ascii="Times New Roman" w:hAnsi="Times New Roman" w:eastAsia="SimSun" w:cs="Times New Roman"/>
                <w:kern w:val="3"/>
                <w:sz w:val="24"/>
                <w:szCs w:val="24"/>
                <w:lang w:eastAsia="en-US" w:bidi="hi-IN"/>
              </w:rPr>
            </w:pPr>
          </w:p>
          <w:p w14:paraId="6620E3BD">
            <w:pPr>
              <w:jc w:val="center"/>
              <w:rPr>
                <w:rFonts w:ascii="Times New Roman" w:hAnsi="Times New Roman" w:eastAsia="SimSun" w:cs="Times New Roman"/>
                <w:kern w:val="3"/>
                <w:sz w:val="24"/>
                <w:szCs w:val="24"/>
                <w:lang w:eastAsia="en-US" w:bidi="hi-IN"/>
              </w:rPr>
            </w:pPr>
          </w:p>
          <w:p w14:paraId="16CDB8A2">
            <w:pPr>
              <w:jc w:val="center"/>
              <w:rPr>
                <w:rFonts w:ascii="Times New Roman" w:hAnsi="Times New Roman" w:eastAsia="SimSun" w:cs="Times New Roman"/>
                <w:kern w:val="3"/>
                <w:sz w:val="24"/>
                <w:szCs w:val="24"/>
                <w:lang w:eastAsia="en-US" w:bidi="hi-IN"/>
              </w:rPr>
            </w:pPr>
          </w:p>
          <w:p w14:paraId="6D30D2B3">
            <w:pPr>
              <w:jc w:val="center"/>
              <w:rPr>
                <w:rFonts w:ascii="Times New Roman" w:hAnsi="Times New Roman" w:eastAsia="SimSun" w:cs="Times New Roman"/>
                <w:kern w:val="3"/>
                <w:sz w:val="24"/>
                <w:szCs w:val="24"/>
                <w:lang w:eastAsia="en-US" w:bidi="hi-IN"/>
              </w:rPr>
            </w:pPr>
          </w:p>
          <w:p w14:paraId="0510118B">
            <w:pPr>
              <w:jc w:val="center"/>
              <w:rPr>
                <w:rFonts w:ascii="Times New Roman" w:hAnsi="Times New Roman" w:eastAsia="SimSun" w:cs="Times New Roman"/>
                <w:kern w:val="3"/>
                <w:sz w:val="24"/>
                <w:szCs w:val="24"/>
                <w:lang w:eastAsia="en-US" w:bidi="hi-IN"/>
              </w:rPr>
            </w:pPr>
          </w:p>
          <w:p w14:paraId="547DC65B">
            <w:pPr>
              <w:jc w:val="center"/>
              <w:rPr>
                <w:rFonts w:ascii="Times New Roman" w:hAnsi="Times New Roman" w:eastAsia="SimSun" w:cs="Times New Roman"/>
                <w:kern w:val="3"/>
                <w:sz w:val="24"/>
                <w:szCs w:val="24"/>
                <w:lang w:eastAsia="en-US" w:bidi="hi-IN"/>
              </w:rPr>
            </w:pPr>
          </w:p>
          <w:p w14:paraId="782F681F">
            <w:pPr>
              <w:jc w:val="center"/>
              <w:rPr>
                <w:rFonts w:ascii="Times New Roman" w:hAnsi="Times New Roman" w:eastAsia="SimSun" w:cs="Times New Roman"/>
                <w:kern w:val="3"/>
                <w:sz w:val="24"/>
                <w:szCs w:val="24"/>
                <w:lang w:eastAsia="en-US" w:bidi="hi-IN"/>
              </w:rPr>
            </w:pPr>
          </w:p>
          <w:p w14:paraId="4DBA7003">
            <w:pPr>
              <w:jc w:val="center"/>
              <w:rPr>
                <w:rFonts w:ascii="Times New Roman" w:hAnsi="Times New Roman" w:eastAsia="SimSun" w:cs="Times New Roman"/>
                <w:kern w:val="3"/>
                <w:sz w:val="24"/>
                <w:szCs w:val="24"/>
                <w:lang w:eastAsia="en-US" w:bidi="hi-IN"/>
              </w:rPr>
            </w:pPr>
          </w:p>
          <w:p w14:paraId="0467FB96">
            <w:pPr>
              <w:jc w:val="center"/>
              <w:rPr>
                <w:rFonts w:ascii="Times New Roman" w:hAnsi="Times New Roman" w:eastAsia="SimSun" w:cs="Times New Roman"/>
                <w:kern w:val="3"/>
                <w:sz w:val="24"/>
                <w:szCs w:val="24"/>
                <w:lang w:eastAsia="en-US" w:bidi="hi-IN"/>
              </w:rPr>
            </w:pPr>
          </w:p>
          <w:p w14:paraId="242B4A76">
            <w:pPr>
              <w:jc w:val="center"/>
              <w:rPr>
                <w:rFonts w:ascii="Times New Roman" w:hAnsi="Times New Roman" w:eastAsia="SimSun" w:cs="Times New Roman"/>
                <w:kern w:val="3"/>
                <w:sz w:val="24"/>
                <w:szCs w:val="24"/>
                <w:lang w:eastAsia="en-US" w:bidi="hi-IN"/>
              </w:rPr>
            </w:pPr>
          </w:p>
          <w:p w14:paraId="2BD467B6">
            <w:pPr>
              <w:jc w:val="center"/>
              <w:rPr>
                <w:rFonts w:ascii="Times New Roman" w:hAnsi="Times New Roman" w:eastAsia="SimSun" w:cs="Times New Roman"/>
                <w:kern w:val="3"/>
                <w:sz w:val="24"/>
                <w:szCs w:val="24"/>
                <w:lang w:eastAsia="en-US" w:bidi="hi-IN"/>
              </w:rPr>
            </w:pPr>
          </w:p>
          <w:p w14:paraId="0E9B789A">
            <w:pPr>
              <w:jc w:val="center"/>
              <w:rPr>
                <w:rFonts w:ascii="Times New Roman" w:hAnsi="Times New Roman" w:eastAsia="SimSun" w:cs="Times New Roman"/>
                <w:kern w:val="3"/>
                <w:sz w:val="24"/>
                <w:szCs w:val="24"/>
                <w:lang w:eastAsia="en-US" w:bidi="hi-IN"/>
              </w:rPr>
            </w:pPr>
          </w:p>
          <w:p w14:paraId="7D6E6A5B">
            <w:pPr>
              <w:jc w:val="center"/>
              <w:rPr>
                <w:rFonts w:ascii="Times New Roman" w:hAnsi="Times New Roman" w:eastAsia="SimSun" w:cs="Times New Roman"/>
                <w:kern w:val="3"/>
                <w:sz w:val="24"/>
                <w:szCs w:val="24"/>
                <w:lang w:eastAsia="en-US" w:bidi="hi-IN"/>
              </w:rPr>
            </w:pPr>
          </w:p>
          <w:p w14:paraId="0FF33107">
            <w:pPr>
              <w:jc w:val="center"/>
              <w:rPr>
                <w:rFonts w:ascii="Times New Roman" w:hAnsi="Times New Roman" w:eastAsia="SimSun" w:cs="Times New Roman"/>
                <w:kern w:val="3"/>
                <w:sz w:val="24"/>
                <w:szCs w:val="24"/>
                <w:lang w:eastAsia="en-US" w:bidi="hi-IN"/>
              </w:rPr>
            </w:pPr>
          </w:p>
          <w:p w14:paraId="7FAC98B4">
            <w:pPr>
              <w:jc w:val="center"/>
              <w:rPr>
                <w:rFonts w:ascii="Times New Roman" w:hAnsi="Times New Roman" w:eastAsia="SimSun" w:cs="Times New Roman"/>
                <w:kern w:val="3"/>
                <w:sz w:val="24"/>
                <w:szCs w:val="24"/>
                <w:lang w:eastAsia="en-US" w:bidi="hi-IN"/>
              </w:rPr>
            </w:pPr>
          </w:p>
          <w:p w14:paraId="1B6B3651">
            <w:pPr>
              <w:jc w:val="center"/>
              <w:rPr>
                <w:rFonts w:ascii="Times New Roman" w:hAnsi="Times New Roman" w:eastAsia="SimSun" w:cs="Times New Roman"/>
                <w:kern w:val="3"/>
                <w:sz w:val="24"/>
                <w:szCs w:val="24"/>
                <w:lang w:eastAsia="en-US" w:bidi="hi-IN"/>
              </w:rPr>
            </w:pPr>
          </w:p>
          <w:p w14:paraId="7B0F7DE4">
            <w:pPr>
              <w:jc w:val="center"/>
              <w:rPr>
                <w:rFonts w:ascii="Times New Roman" w:hAnsi="Times New Roman" w:eastAsia="SimSun" w:cs="Times New Roman"/>
                <w:kern w:val="3"/>
                <w:sz w:val="24"/>
                <w:szCs w:val="24"/>
                <w:lang w:eastAsia="en-US" w:bidi="hi-IN"/>
              </w:rPr>
            </w:pPr>
          </w:p>
          <w:p w14:paraId="1C5D8413">
            <w:pPr>
              <w:jc w:val="center"/>
              <w:rPr>
                <w:rFonts w:ascii="Times New Roman" w:hAnsi="Times New Roman" w:eastAsia="SimSun" w:cs="Times New Roman"/>
                <w:kern w:val="3"/>
                <w:sz w:val="24"/>
                <w:szCs w:val="24"/>
                <w:lang w:eastAsia="en-US" w:bidi="hi-IN"/>
              </w:rPr>
            </w:pPr>
          </w:p>
          <w:p w14:paraId="4AA08446">
            <w:pPr>
              <w:jc w:val="center"/>
              <w:rPr>
                <w:rFonts w:ascii="Times New Roman" w:hAnsi="Times New Roman" w:eastAsia="SimSun" w:cs="Times New Roman"/>
                <w:kern w:val="3"/>
                <w:sz w:val="24"/>
                <w:szCs w:val="24"/>
                <w:lang w:eastAsia="en-US" w:bidi="hi-IN"/>
              </w:rPr>
            </w:pPr>
          </w:p>
          <w:p w14:paraId="0AFF5430">
            <w:pPr>
              <w:jc w:val="center"/>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01</w:t>
            </w:r>
          </w:p>
        </w:tc>
        <w:tc>
          <w:tcPr>
            <w:tcW w:w="993" w:type="dxa"/>
            <w:shd w:val="clear" w:color="auto" w:fill="auto"/>
          </w:tcPr>
          <w:p w14:paraId="004D785A">
            <w:pPr>
              <w:jc w:val="center"/>
              <w:rPr>
                <w:rFonts w:ascii="Times New Roman" w:hAnsi="Times New Roman" w:cs="Times New Roman" w:eastAsiaTheme="minorHAnsi"/>
                <w:color w:val="000000"/>
                <w:sz w:val="24"/>
                <w:szCs w:val="24"/>
                <w:lang w:eastAsia="en-US"/>
              </w:rPr>
            </w:pPr>
          </w:p>
          <w:p w14:paraId="370ED00A">
            <w:pPr>
              <w:jc w:val="center"/>
              <w:rPr>
                <w:rFonts w:ascii="Times New Roman" w:hAnsi="Times New Roman" w:cs="Times New Roman" w:eastAsiaTheme="minorHAnsi"/>
                <w:color w:val="000000"/>
                <w:sz w:val="24"/>
                <w:szCs w:val="24"/>
                <w:lang w:eastAsia="en-US"/>
              </w:rPr>
            </w:pPr>
          </w:p>
          <w:p w14:paraId="4E4FE414">
            <w:pPr>
              <w:jc w:val="center"/>
              <w:rPr>
                <w:rFonts w:ascii="Times New Roman" w:hAnsi="Times New Roman" w:cs="Times New Roman" w:eastAsiaTheme="minorHAnsi"/>
                <w:color w:val="000000"/>
                <w:sz w:val="24"/>
                <w:szCs w:val="24"/>
                <w:lang w:eastAsia="en-US"/>
              </w:rPr>
            </w:pPr>
          </w:p>
          <w:p w14:paraId="69EDB053">
            <w:pPr>
              <w:jc w:val="center"/>
              <w:rPr>
                <w:rFonts w:ascii="Times New Roman" w:hAnsi="Times New Roman" w:cs="Times New Roman" w:eastAsiaTheme="minorHAnsi"/>
                <w:color w:val="000000"/>
                <w:sz w:val="24"/>
                <w:szCs w:val="24"/>
                <w:lang w:eastAsia="en-US"/>
              </w:rPr>
            </w:pPr>
          </w:p>
          <w:p w14:paraId="5E9250EB">
            <w:pPr>
              <w:jc w:val="center"/>
              <w:rPr>
                <w:rFonts w:ascii="Times New Roman" w:hAnsi="Times New Roman" w:cs="Times New Roman" w:eastAsiaTheme="minorHAnsi"/>
                <w:color w:val="000000"/>
                <w:sz w:val="24"/>
                <w:szCs w:val="24"/>
                <w:lang w:eastAsia="en-US"/>
              </w:rPr>
            </w:pPr>
          </w:p>
          <w:p w14:paraId="2E372F5F">
            <w:pPr>
              <w:jc w:val="center"/>
              <w:rPr>
                <w:rFonts w:ascii="Times New Roman" w:hAnsi="Times New Roman" w:cs="Times New Roman" w:eastAsiaTheme="minorHAnsi"/>
                <w:color w:val="000000"/>
                <w:sz w:val="24"/>
                <w:szCs w:val="24"/>
                <w:lang w:eastAsia="en-US"/>
              </w:rPr>
            </w:pPr>
          </w:p>
          <w:p w14:paraId="16212DD9">
            <w:pPr>
              <w:jc w:val="center"/>
              <w:rPr>
                <w:rFonts w:ascii="Times New Roman" w:hAnsi="Times New Roman" w:cs="Times New Roman" w:eastAsiaTheme="minorHAnsi"/>
                <w:color w:val="000000"/>
                <w:sz w:val="24"/>
                <w:szCs w:val="24"/>
                <w:lang w:eastAsia="en-US"/>
              </w:rPr>
            </w:pPr>
          </w:p>
          <w:p w14:paraId="11E8AB9C">
            <w:pPr>
              <w:jc w:val="center"/>
              <w:rPr>
                <w:rFonts w:ascii="Times New Roman" w:hAnsi="Times New Roman" w:cs="Times New Roman" w:eastAsiaTheme="minorHAnsi"/>
                <w:color w:val="000000"/>
                <w:sz w:val="24"/>
                <w:szCs w:val="24"/>
                <w:lang w:eastAsia="en-US"/>
              </w:rPr>
            </w:pPr>
          </w:p>
          <w:p w14:paraId="260C47FB">
            <w:pPr>
              <w:jc w:val="center"/>
              <w:rPr>
                <w:rFonts w:ascii="Times New Roman" w:hAnsi="Times New Roman" w:cs="Times New Roman" w:eastAsiaTheme="minorHAnsi"/>
                <w:color w:val="000000"/>
                <w:sz w:val="24"/>
                <w:szCs w:val="24"/>
                <w:lang w:eastAsia="en-US"/>
              </w:rPr>
            </w:pPr>
          </w:p>
          <w:p w14:paraId="40322686">
            <w:pPr>
              <w:jc w:val="center"/>
              <w:rPr>
                <w:rFonts w:ascii="Times New Roman" w:hAnsi="Times New Roman" w:cs="Times New Roman" w:eastAsiaTheme="minorHAnsi"/>
                <w:color w:val="000000"/>
                <w:sz w:val="24"/>
                <w:szCs w:val="24"/>
                <w:lang w:eastAsia="en-US"/>
              </w:rPr>
            </w:pPr>
          </w:p>
          <w:p w14:paraId="5EFCC150">
            <w:pPr>
              <w:jc w:val="center"/>
              <w:rPr>
                <w:rFonts w:ascii="Times New Roman" w:hAnsi="Times New Roman" w:cs="Times New Roman" w:eastAsiaTheme="minorHAnsi"/>
                <w:color w:val="000000"/>
                <w:sz w:val="24"/>
                <w:szCs w:val="24"/>
                <w:lang w:eastAsia="en-US"/>
              </w:rPr>
            </w:pPr>
          </w:p>
          <w:p w14:paraId="219103B7">
            <w:pPr>
              <w:jc w:val="center"/>
              <w:rPr>
                <w:rFonts w:ascii="Times New Roman" w:hAnsi="Times New Roman" w:cs="Times New Roman" w:eastAsiaTheme="minorHAnsi"/>
                <w:color w:val="000000"/>
                <w:sz w:val="24"/>
                <w:szCs w:val="24"/>
                <w:lang w:eastAsia="en-US"/>
              </w:rPr>
            </w:pPr>
          </w:p>
          <w:p w14:paraId="53483B4D">
            <w:pPr>
              <w:jc w:val="center"/>
              <w:rPr>
                <w:rFonts w:ascii="Times New Roman" w:hAnsi="Times New Roman" w:cs="Times New Roman" w:eastAsiaTheme="minorHAnsi"/>
                <w:color w:val="000000"/>
                <w:sz w:val="24"/>
                <w:szCs w:val="24"/>
                <w:lang w:eastAsia="en-US"/>
              </w:rPr>
            </w:pPr>
          </w:p>
          <w:p w14:paraId="1517DF2E">
            <w:pPr>
              <w:jc w:val="center"/>
              <w:rPr>
                <w:rFonts w:ascii="Times New Roman" w:hAnsi="Times New Roman" w:cs="Times New Roman" w:eastAsiaTheme="minorHAnsi"/>
                <w:color w:val="000000"/>
                <w:sz w:val="24"/>
                <w:szCs w:val="24"/>
                <w:lang w:eastAsia="en-US"/>
              </w:rPr>
            </w:pPr>
          </w:p>
          <w:p w14:paraId="4FD991E5">
            <w:pPr>
              <w:jc w:val="center"/>
              <w:rPr>
                <w:rFonts w:ascii="Times New Roman" w:hAnsi="Times New Roman" w:cs="Times New Roman" w:eastAsiaTheme="minorHAnsi"/>
                <w:color w:val="000000"/>
                <w:sz w:val="24"/>
                <w:szCs w:val="24"/>
                <w:lang w:eastAsia="en-US"/>
              </w:rPr>
            </w:pPr>
          </w:p>
          <w:p w14:paraId="68BEE225">
            <w:pPr>
              <w:jc w:val="center"/>
              <w:rPr>
                <w:rFonts w:ascii="Times New Roman" w:hAnsi="Times New Roman" w:cs="Times New Roman" w:eastAsiaTheme="minorHAnsi"/>
                <w:color w:val="000000"/>
                <w:sz w:val="24"/>
                <w:szCs w:val="24"/>
                <w:lang w:eastAsia="en-US"/>
              </w:rPr>
            </w:pPr>
          </w:p>
          <w:p w14:paraId="7DF68B1E">
            <w:pPr>
              <w:jc w:val="center"/>
              <w:rPr>
                <w:rFonts w:ascii="Times New Roman" w:hAnsi="Times New Roman" w:cs="Times New Roman" w:eastAsiaTheme="minorHAnsi"/>
                <w:color w:val="000000"/>
                <w:sz w:val="24"/>
                <w:szCs w:val="24"/>
                <w:lang w:eastAsia="en-US"/>
              </w:rPr>
            </w:pPr>
          </w:p>
          <w:p w14:paraId="7643EA64">
            <w:pPr>
              <w:jc w:val="center"/>
              <w:rPr>
                <w:rFonts w:ascii="Times New Roman" w:hAnsi="Times New Roman" w:cs="Times New Roman" w:eastAsiaTheme="minorHAnsi"/>
                <w:color w:val="000000"/>
                <w:sz w:val="24"/>
                <w:szCs w:val="24"/>
                <w:lang w:eastAsia="en-US"/>
              </w:rPr>
            </w:pPr>
          </w:p>
          <w:p w14:paraId="2683FF22">
            <w:pPr>
              <w:jc w:val="center"/>
              <w:rPr>
                <w:rFonts w:ascii="Times New Roman" w:hAnsi="Times New Roman" w:cs="Times New Roman" w:eastAsiaTheme="minorHAnsi"/>
                <w:color w:val="000000"/>
                <w:sz w:val="24"/>
                <w:szCs w:val="24"/>
                <w:lang w:eastAsia="en-US"/>
              </w:rPr>
            </w:pPr>
          </w:p>
          <w:p w14:paraId="30DF781F">
            <w:pPr>
              <w:jc w:val="center"/>
              <w:rPr>
                <w:rFonts w:ascii="Times New Roman" w:hAnsi="Times New Roman" w:cs="Times New Roman" w:eastAsiaTheme="minorHAnsi"/>
                <w:color w:val="000000"/>
                <w:sz w:val="24"/>
                <w:szCs w:val="24"/>
                <w:lang w:eastAsia="en-US"/>
              </w:rPr>
            </w:pPr>
          </w:p>
          <w:p w14:paraId="080FFCA8">
            <w:pPr>
              <w:jc w:val="center"/>
              <w:rPr>
                <w:rFonts w:ascii="Times New Roman" w:hAnsi="Times New Roman" w:cs="Times New Roman" w:eastAsiaTheme="minorHAnsi"/>
                <w:color w:val="000000"/>
                <w:sz w:val="24"/>
                <w:szCs w:val="24"/>
                <w:lang w:eastAsia="en-US"/>
              </w:rPr>
            </w:pPr>
          </w:p>
          <w:p w14:paraId="685C5FC4">
            <w:pPr>
              <w:jc w:val="center"/>
              <w:rPr>
                <w:rFonts w:ascii="Times New Roman" w:hAnsi="Times New Roman" w:cs="Times New Roman" w:eastAsiaTheme="minorHAnsi"/>
                <w:color w:val="000000"/>
                <w:sz w:val="24"/>
                <w:szCs w:val="24"/>
                <w:lang w:eastAsia="en-US"/>
              </w:rPr>
            </w:pPr>
          </w:p>
          <w:p w14:paraId="3AD2DEE2">
            <w:pPr>
              <w:jc w:val="center"/>
              <w:rPr>
                <w:rFonts w:ascii="Times New Roman" w:hAnsi="Times New Roman" w:cs="Times New Roman" w:eastAsiaTheme="minorHAnsi"/>
                <w:color w:val="000000"/>
                <w:sz w:val="24"/>
                <w:szCs w:val="24"/>
                <w:lang w:eastAsia="en-US"/>
              </w:rPr>
            </w:pPr>
          </w:p>
          <w:p w14:paraId="46BD6788">
            <w:pPr>
              <w:jc w:val="center"/>
              <w:rPr>
                <w:rFonts w:ascii="Times New Roman" w:hAnsi="Times New Roman" w:cs="Times New Roman" w:eastAsiaTheme="minorHAnsi"/>
                <w:color w:val="000000"/>
                <w:sz w:val="24"/>
                <w:szCs w:val="24"/>
                <w:lang w:eastAsia="en-US"/>
              </w:rPr>
            </w:pPr>
          </w:p>
          <w:p w14:paraId="6B39A7AB">
            <w:pPr>
              <w:jc w:val="center"/>
              <w:rPr>
                <w:rFonts w:ascii="Times New Roman" w:hAnsi="Times New Roman" w:cs="Times New Roman" w:eastAsiaTheme="minorHAnsi"/>
                <w:color w:val="000000"/>
                <w:sz w:val="24"/>
                <w:szCs w:val="24"/>
                <w:lang w:eastAsia="en-US"/>
              </w:rPr>
            </w:pPr>
          </w:p>
          <w:p w14:paraId="1DE22E1B">
            <w:pPr>
              <w:jc w:val="center"/>
              <w:rPr>
                <w:rFonts w:ascii="Times New Roman" w:hAnsi="Times New Roman" w:cs="Times New Roman" w:eastAsiaTheme="minorHAnsi"/>
                <w:color w:val="000000"/>
                <w:sz w:val="24"/>
                <w:szCs w:val="24"/>
                <w:lang w:eastAsia="en-US"/>
              </w:rPr>
            </w:pPr>
          </w:p>
          <w:p w14:paraId="090F7357">
            <w:pPr>
              <w:jc w:val="center"/>
              <w:rPr>
                <w:rFonts w:ascii="Times New Roman" w:hAnsi="Times New Roman" w:cs="Times New Roman" w:eastAsiaTheme="minorHAnsi"/>
                <w:color w:val="000000"/>
                <w:sz w:val="24"/>
                <w:szCs w:val="24"/>
                <w:lang w:eastAsia="en-US"/>
              </w:rPr>
            </w:pPr>
          </w:p>
          <w:p w14:paraId="30C8868E">
            <w:pPr>
              <w:jc w:val="center"/>
              <w:rPr>
                <w:rFonts w:ascii="Times New Roman" w:hAnsi="Times New Roman" w:cs="Times New Roman" w:eastAsiaTheme="minorHAnsi"/>
                <w:color w:val="000000"/>
                <w:sz w:val="24"/>
                <w:szCs w:val="24"/>
                <w:lang w:eastAsia="en-US"/>
              </w:rPr>
            </w:pPr>
          </w:p>
          <w:p w14:paraId="17DEC709">
            <w:pPr>
              <w:jc w:val="center"/>
              <w:rPr>
                <w:rFonts w:ascii="Times New Roman" w:hAnsi="Times New Roman" w:cs="Times New Roman" w:eastAsiaTheme="minorHAnsi"/>
                <w:color w:val="000000"/>
                <w:sz w:val="24"/>
                <w:szCs w:val="24"/>
                <w:lang w:eastAsia="en-US"/>
              </w:rPr>
            </w:pPr>
          </w:p>
          <w:p w14:paraId="588668C1">
            <w:pPr>
              <w:jc w:val="center"/>
              <w:rPr>
                <w:rFonts w:ascii="Times New Roman" w:hAnsi="Times New Roman" w:cs="Times New Roman" w:eastAsiaTheme="minorHAnsi"/>
                <w:color w:val="000000"/>
                <w:sz w:val="24"/>
                <w:szCs w:val="24"/>
                <w:lang w:eastAsia="en-US"/>
              </w:rPr>
            </w:pPr>
          </w:p>
          <w:p w14:paraId="376D8EB4">
            <w:pPr>
              <w:jc w:val="center"/>
              <w:rPr>
                <w:rFonts w:ascii="Times New Roman" w:hAnsi="Times New Roman" w:cs="Times New Roman" w:eastAsiaTheme="minorHAnsi"/>
                <w:color w:val="000000"/>
                <w:sz w:val="24"/>
                <w:szCs w:val="24"/>
                <w:lang w:eastAsia="en-US"/>
              </w:rPr>
            </w:pPr>
            <w:r>
              <w:rPr>
                <w:rFonts w:ascii="Times New Roman" w:hAnsi="Times New Roman" w:cs="Times New Roman" w:eastAsiaTheme="minorHAnsi"/>
                <w:color w:val="000000"/>
                <w:sz w:val="24"/>
                <w:szCs w:val="24"/>
                <w:lang w:eastAsia="en-US"/>
              </w:rPr>
              <w:t>05</w:t>
            </w:r>
          </w:p>
        </w:tc>
        <w:tc>
          <w:tcPr>
            <w:tcW w:w="1701" w:type="dxa"/>
            <w:shd w:val="clear" w:color="auto" w:fill="auto"/>
            <w:vAlign w:val="bottom"/>
          </w:tcPr>
          <w:p w14:paraId="01085A06">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SUV</w:t>
            </w:r>
          </w:p>
        </w:tc>
        <w:tc>
          <w:tcPr>
            <w:tcW w:w="3685" w:type="dxa"/>
            <w:shd w:val="clear" w:color="auto" w:fill="auto"/>
            <w:vAlign w:val="bottom"/>
          </w:tcPr>
          <w:p w14:paraId="3872485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Veículo novo, zero km,</w:t>
            </w:r>
          </w:p>
          <w:p w14:paraId="134EC36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popular, ano/modelo de</w:t>
            </w:r>
          </w:p>
          <w:p w14:paraId="4FAAD40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fabricação mínimo</w:t>
            </w:r>
          </w:p>
          <w:p w14:paraId="6795F92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2024/2025, cor branca,</w:t>
            </w:r>
          </w:p>
          <w:p w14:paraId="7F84EFE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transmissão manual, 4</w:t>
            </w:r>
          </w:p>
          <w:p w14:paraId="29F3CEA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portas, com todos os</w:t>
            </w:r>
          </w:p>
          <w:p w14:paraId="094C9C6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equipamentos obrigatórios</w:t>
            </w:r>
          </w:p>
          <w:p w14:paraId="5B185E2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exigidos pelo Contran,</w:t>
            </w:r>
          </w:p>
          <w:p w14:paraId="50DFDB7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capacidade para 5</w:t>
            </w:r>
          </w:p>
          <w:p w14:paraId="36F48A3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ocupantes. Motor 1.0 flex, 3</w:t>
            </w:r>
          </w:p>
          <w:p w14:paraId="5E67ACE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cilindros, com potência</w:t>
            </w:r>
          </w:p>
          <w:p w14:paraId="4A61385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mínima de 68 cv (g) e 71 cv</w:t>
            </w:r>
          </w:p>
          <w:p w14:paraId="0EBA54D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 capacidade mínima do</w:t>
            </w:r>
          </w:p>
          <w:p w14:paraId="1D54A42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tanque de combustível de</w:t>
            </w:r>
          </w:p>
          <w:p w14:paraId="532A37E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47 litros, direção elétrica,</w:t>
            </w:r>
          </w:p>
          <w:p w14:paraId="15B024B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freios com sistema anti-</w:t>
            </w:r>
          </w:p>
          <w:p w14:paraId="217D3B0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bloqueio (abs) nas quatro</w:t>
            </w:r>
          </w:p>
          <w:p w14:paraId="5C4D438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rodas, sistema de</w:t>
            </w:r>
          </w:p>
          <w:p w14:paraId="1B241AF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distribuição eletrônica de</w:t>
            </w:r>
          </w:p>
          <w:p w14:paraId="532B1A7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frenagem (ebd), airbags</w:t>
            </w:r>
          </w:p>
          <w:p w14:paraId="37A2616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frontais, cintos de</w:t>
            </w:r>
          </w:p>
          <w:p w14:paraId="6B7F8C0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segurança de 3 pontos para</w:t>
            </w:r>
          </w:p>
          <w:p w14:paraId="172BB9B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todos os ocupantes,</w:t>
            </w:r>
          </w:p>
          <w:p w14:paraId="037F8A5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encostos de cabeça para</w:t>
            </w:r>
          </w:p>
          <w:p w14:paraId="4EEB6A5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todos os ocupantes, faróis</w:t>
            </w:r>
          </w:p>
          <w:p w14:paraId="385CA9E2">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neblina, travas elétricas</w:t>
            </w:r>
          </w:p>
          <w:p w14:paraId="55EE281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nas portas, desembaçador</w:t>
            </w:r>
          </w:p>
          <w:p w14:paraId="2C8567F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do vidro traseiro, ar -</w:t>
            </w:r>
          </w:p>
          <w:p w14:paraId="14F1D4C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condicionado, vidros</w:t>
            </w:r>
          </w:p>
          <w:p w14:paraId="1C7DC28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elétricos dianteiros, rodas</w:t>
            </w:r>
          </w:p>
          <w:p w14:paraId="1F9C406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aço, rádio fm com</w:t>
            </w:r>
          </w:p>
          <w:p w14:paraId="4860AD2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 xml:space="preserve">conexão usb, protetor de </w:t>
            </w:r>
            <w:r>
              <w:rPr>
                <w:rFonts w:asciiTheme="minorHAnsi" w:hAnsiTheme="minorHAnsi" w:eastAsiaTheme="minorHAnsi" w:cstheme="minorBidi"/>
                <w:sz w:val="22"/>
                <w:szCs w:val="22"/>
                <w:lang w:eastAsia="en-US"/>
              </w:rPr>
              <w:t xml:space="preserve"> </w:t>
            </w:r>
            <w:r>
              <w:rPr>
                <w:rFonts w:ascii="Times New Roman" w:hAnsi="Times New Roman" w:eastAsia="SimSun" w:cs="Times New Roman"/>
                <w:color w:val="000000"/>
                <w:sz w:val="24"/>
                <w:szCs w:val="24"/>
                <w:lang w:eastAsia="zh-CN" w:bidi="ar"/>
              </w:rPr>
              <w:t>cárter/motor, jogo de</w:t>
            </w:r>
          </w:p>
          <w:p w14:paraId="3FE082C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tapetes e película instalada</w:t>
            </w:r>
          </w:p>
          <w:p w14:paraId="230691B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em todos os vidros,</w:t>
            </w:r>
          </w:p>
          <w:p w14:paraId="4E110FD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conforme a resolução nº 254</w:t>
            </w:r>
          </w:p>
          <w:p w14:paraId="7F9A912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do Contran. Destinado a</w:t>
            </w:r>
          </w:p>
          <w:p w14:paraId="67C0BA9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Secretaria Municipal de</w:t>
            </w:r>
          </w:p>
          <w:p w14:paraId="67C3699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Saúde.</w:t>
            </w:r>
          </w:p>
        </w:tc>
        <w:tc>
          <w:tcPr>
            <w:tcW w:w="1559" w:type="dxa"/>
            <w:shd w:val="clear" w:color="auto" w:fill="auto"/>
            <w:vAlign w:val="bottom"/>
          </w:tcPr>
          <w:p w14:paraId="4EB739F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R$76.831,44</w:t>
            </w:r>
          </w:p>
        </w:tc>
        <w:tc>
          <w:tcPr>
            <w:tcW w:w="1961" w:type="dxa"/>
            <w:shd w:val="clear" w:color="auto" w:fill="auto"/>
            <w:vAlign w:val="bottom"/>
          </w:tcPr>
          <w:p w14:paraId="6637D70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R$384.157,20</w:t>
            </w:r>
          </w:p>
        </w:tc>
      </w:tr>
      <w:tr w14:paraId="4723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0B007B94">
            <w:pPr>
              <w:jc w:val="center"/>
              <w:rPr>
                <w:rFonts w:ascii="Times New Roman" w:hAnsi="Times New Roman" w:eastAsia="SimSun" w:cs="Times New Roman"/>
                <w:kern w:val="3"/>
                <w:sz w:val="24"/>
                <w:szCs w:val="24"/>
                <w:lang w:eastAsia="en-US" w:bidi="hi-IN"/>
              </w:rPr>
            </w:pPr>
          </w:p>
          <w:p w14:paraId="2C9181C8">
            <w:pPr>
              <w:jc w:val="center"/>
              <w:rPr>
                <w:rFonts w:ascii="Times New Roman" w:hAnsi="Times New Roman" w:eastAsia="SimSun" w:cs="Times New Roman"/>
                <w:kern w:val="3"/>
                <w:sz w:val="24"/>
                <w:szCs w:val="24"/>
                <w:lang w:eastAsia="en-US" w:bidi="hi-IN"/>
              </w:rPr>
            </w:pPr>
          </w:p>
          <w:p w14:paraId="652CA527">
            <w:pPr>
              <w:jc w:val="center"/>
              <w:rPr>
                <w:rFonts w:ascii="Times New Roman" w:hAnsi="Times New Roman" w:eastAsia="SimSun" w:cs="Times New Roman"/>
                <w:kern w:val="3"/>
                <w:sz w:val="24"/>
                <w:szCs w:val="24"/>
                <w:lang w:eastAsia="en-US" w:bidi="hi-IN"/>
              </w:rPr>
            </w:pPr>
          </w:p>
          <w:p w14:paraId="7CC8BEA7">
            <w:pPr>
              <w:jc w:val="center"/>
              <w:rPr>
                <w:rFonts w:ascii="Times New Roman" w:hAnsi="Times New Roman" w:eastAsia="SimSun" w:cs="Times New Roman"/>
                <w:kern w:val="3"/>
                <w:sz w:val="24"/>
                <w:szCs w:val="24"/>
                <w:lang w:eastAsia="en-US" w:bidi="hi-IN"/>
              </w:rPr>
            </w:pPr>
          </w:p>
          <w:p w14:paraId="3C4705AD">
            <w:pPr>
              <w:jc w:val="center"/>
              <w:rPr>
                <w:rFonts w:ascii="Times New Roman" w:hAnsi="Times New Roman" w:eastAsia="SimSun" w:cs="Times New Roman"/>
                <w:kern w:val="3"/>
                <w:sz w:val="24"/>
                <w:szCs w:val="24"/>
                <w:lang w:eastAsia="en-US" w:bidi="hi-IN"/>
              </w:rPr>
            </w:pPr>
          </w:p>
          <w:p w14:paraId="0BB1A52D">
            <w:pPr>
              <w:jc w:val="center"/>
              <w:rPr>
                <w:rFonts w:ascii="Times New Roman" w:hAnsi="Times New Roman" w:eastAsia="SimSun" w:cs="Times New Roman"/>
                <w:kern w:val="3"/>
                <w:sz w:val="24"/>
                <w:szCs w:val="24"/>
                <w:lang w:eastAsia="en-US" w:bidi="hi-IN"/>
              </w:rPr>
            </w:pPr>
          </w:p>
          <w:p w14:paraId="391A7555">
            <w:pPr>
              <w:jc w:val="center"/>
              <w:rPr>
                <w:rFonts w:ascii="Times New Roman" w:hAnsi="Times New Roman" w:eastAsia="SimSun" w:cs="Times New Roman"/>
                <w:kern w:val="3"/>
                <w:sz w:val="24"/>
                <w:szCs w:val="24"/>
                <w:lang w:eastAsia="en-US" w:bidi="hi-IN"/>
              </w:rPr>
            </w:pPr>
          </w:p>
          <w:p w14:paraId="47140A61">
            <w:pPr>
              <w:jc w:val="center"/>
              <w:rPr>
                <w:rFonts w:ascii="Times New Roman" w:hAnsi="Times New Roman" w:eastAsia="SimSun" w:cs="Times New Roman"/>
                <w:kern w:val="3"/>
                <w:sz w:val="24"/>
                <w:szCs w:val="24"/>
                <w:lang w:eastAsia="en-US" w:bidi="hi-IN"/>
              </w:rPr>
            </w:pPr>
          </w:p>
          <w:p w14:paraId="66DF1689">
            <w:pPr>
              <w:jc w:val="center"/>
              <w:rPr>
                <w:rFonts w:ascii="Times New Roman" w:hAnsi="Times New Roman" w:eastAsia="SimSun" w:cs="Times New Roman"/>
                <w:kern w:val="3"/>
                <w:sz w:val="24"/>
                <w:szCs w:val="24"/>
                <w:lang w:eastAsia="en-US" w:bidi="hi-IN"/>
              </w:rPr>
            </w:pPr>
          </w:p>
          <w:p w14:paraId="177063CF">
            <w:pPr>
              <w:jc w:val="center"/>
              <w:rPr>
                <w:rFonts w:ascii="Times New Roman" w:hAnsi="Times New Roman" w:eastAsia="SimSun" w:cs="Times New Roman"/>
                <w:kern w:val="3"/>
                <w:sz w:val="24"/>
                <w:szCs w:val="24"/>
                <w:lang w:eastAsia="en-US" w:bidi="hi-IN"/>
              </w:rPr>
            </w:pPr>
          </w:p>
          <w:p w14:paraId="4DB1AE1A">
            <w:pPr>
              <w:jc w:val="center"/>
              <w:rPr>
                <w:rFonts w:ascii="Times New Roman" w:hAnsi="Times New Roman" w:eastAsia="SimSun" w:cs="Times New Roman"/>
                <w:kern w:val="3"/>
                <w:sz w:val="24"/>
                <w:szCs w:val="24"/>
                <w:lang w:eastAsia="en-US" w:bidi="hi-IN"/>
              </w:rPr>
            </w:pPr>
          </w:p>
          <w:p w14:paraId="3470F43D">
            <w:pPr>
              <w:jc w:val="center"/>
              <w:rPr>
                <w:rFonts w:ascii="Times New Roman" w:hAnsi="Times New Roman" w:eastAsia="SimSun" w:cs="Times New Roman"/>
                <w:kern w:val="3"/>
                <w:sz w:val="24"/>
                <w:szCs w:val="24"/>
                <w:lang w:eastAsia="en-US" w:bidi="hi-IN"/>
              </w:rPr>
            </w:pPr>
          </w:p>
          <w:p w14:paraId="6C568500">
            <w:pPr>
              <w:jc w:val="center"/>
              <w:rPr>
                <w:rFonts w:ascii="Times New Roman" w:hAnsi="Times New Roman" w:eastAsia="SimSun" w:cs="Times New Roman"/>
                <w:kern w:val="3"/>
                <w:sz w:val="24"/>
                <w:szCs w:val="24"/>
                <w:lang w:eastAsia="en-US" w:bidi="hi-IN"/>
              </w:rPr>
            </w:pPr>
          </w:p>
          <w:p w14:paraId="4E393DB8">
            <w:pPr>
              <w:jc w:val="center"/>
              <w:rPr>
                <w:rFonts w:ascii="Times New Roman" w:hAnsi="Times New Roman" w:eastAsia="SimSun" w:cs="Times New Roman"/>
                <w:kern w:val="3"/>
                <w:sz w:val="24"/>
                <w:szCs w:val="24"/>
                <w:lang w:eastAsia="en-US" w:bidi="hi-IN"/>
              </w:rPr>
            </w:pPr>
          </w:p>
          <w:p w14:paraId="0501AB44">
            <w:pPr>
              <w:jc w:val="center"/>
              <w:rPr>
                <w:rFonts w:ascii="Times New Roman" w:hAnsi="Times New Roman" w:eastAsia="SimSun" w:cs="Times New Roman"/>
                <w:kern w:val="3"/>
                <w:sz w:val="24"/>
                <w:szCs w:val="24"/>
                <w:lang w:eastAsia="en-US" w:bidi="hi-IN"/>
              </w:rPr>
            </w:pPr>
          </w:p>
          <w:p w14:paraId="2C140700">
            <w:pPr>
              <w:jc w:val="center"/>
              <w:rPr>
                <w:rFonts w:ascii="Times New Roman" w:hAnsi="Times New Roman" w:eastAsia="SimSun" w:cs="Times New Roman"/>
                <w:kern w:val="3"/>
                <w:sz w:val="24"/>
                <w:szCs w:val="24"/>
                <w:lang w:eastAsia="en-US" w:bidi="hi-IN"/>
              </w:rPr>
            </w:pPr>
          </w:p>
          <w:p w14:paraId="175D66CA">
            <w:pPr>
              <w:jc w:val="center"/>
              <w:rPr>
                <w:rFonts w:ascii="Times New Roman" w:hAnsi="Times New Roman" w:eastAsia="SimSun" w:cs="Times New Roman"/>
                <w:kern w:val="3"/>
                <w:sz w:val="24"/>
                <w:szCs w:val="24"/>
                <w:lang w:eastAsia="en-US" w:bidi="hi-IN"/>
              </w:rPr>
            </w:pPr>
          </w:p>
          <w:p w14:paraId="753D1A69">
            <w:pPr>
              <w:jc w:val="center"/>
              <w:rPr>
                <w:rFonts w:ascii="Times New Roman" w:hAnsi="Times New Roman" w:eastAsia="SimSun" w:cs="Times New Roman"/>
                <w:kern w:val="3"/>
                <w:sz w:val="24"/>
                <w:szCs w:val="24"/>
                <w:lang w:eastAsia="en-US" w:bidi="hi-IN"/>
              </w:rPr>
            </w:pPr>
          </w:p>
          <w:p w14:paraId="442B35D7">
            <w:pPr>
              <w:jc w:val="center"/>
              <w:rPr>
                <w:rFonts w:ascii="Times New Roman" w:hAnsi="Times New Roman" w:eastAsia="SimSun" w:cs="Times New Roman"/>
                <w:kern w:val="3"/>
                <w:sz w:val="24"/>
                <w:szCs w:val="24"/>
                <w:lang w:eastAsia="en-US" w:bidi="hi-IN"/>
              </w:rPr>
            </w:pPr>
          </w:p>
          <w:p w14:paraId="48BD5125">
            <w:pPr>
              <w:jc w:val="center"/>
              <w:rPr>
                <w:rFonts w:ascii="Times New Roman" w:hAnsi="Times New Roman" w:eastAsia="SimSun" w:cs="Times New Roman"/>
                <w:kern w:val="3"/>
                <w:sz w:val="24"/>
                <w:szCs w:val="24"/>
                <w:lang w:eastAsia="en-US" w:bidi="hi-IN"/>
              </w:rPr>
            </w:pPr>
          </w:p>
          <w:p w14:paraId="21DEE2B1">
            <w:pPr>
              <w:jc w:val="center"/>
              <w:rPr>
                <w:rFonts w:ascii="Times New Roman" w:hAnsi="Times New Roman" w:eastAsia="SimSun" w:cs="Times New Roman"/>
                <w:kern w:val="3"/>
                <w:sz w:val="24"/>
                <w:szCs w:val="24"/>
                <w:lang w:eastAsia="en-US" w:bidi="hi-IN"/>
              </w:rPr>
            </w:pPr>
          </w:p>
          <w:p w14:paraId="7EAB6981">
            <w:pPr>
              <w:jc w:val="center"/>
              <w:rPr>
                <w:rFonts w:ascii="Times New Roman" w:hAnsi="Times New Roman" w:eastAsia="SimSun" w:cs="Times New Roman"/>
                <w:kern w:val="3"/>
                <w:sz w:val="24"/>
                <w:szCs w:val="24"/>
                <w:lang w:eastAsia="en-US" w:bidi="hi-IN"/>
              </w:rPr>
            </w:pPr>
          </w:p>
          <w:p w14:paraId="10FB6577">
            <w:pPr>
              <w:jc w:val="center"/>
              <w:rPr>
                <w:rFonts w:ascii="Times New Roman" w:hAnsi="Times New Roman" w:eastAsia="SimSun" w:cs="Times New Roman"/>
                <w:kern w:val="3"/>
                <w:sz w:val="24"/>
                <w:szCs w:val="24"/>
                <w:lang w:eastAsia="en-US" w:bidi="hi-IN"/>
              </w:rPr>
            </w:pPr>
          </w:p>
          <w:p w14:paraId="1770336A">
            <w:pPr>
              <w:jc w:val="center"/>
              <w:rPr>
                <w:rFonts w:ascii="Times New Roman" w:hAnsi="Times New Roman" w:eastAsia="SimSun" w:cs="Times New Roman"/>
                <w:kern w:val="3"/>
                <w:sz w:val="24"/>
                <w:szCs w:val="24"/>
                <w:lang w:eastAsia="en-US" w:bidi="hi-IN"/>
              </w:rPr>
            </w:pPr>
          </w:p>
          <w:p w14:paraId="4671314A">
            <w:pPr>
              <w:jc w:val="center"/>
              <w:rPr>
                <w:rFonts w:ascii="Times New Roman" w:hAnsi="Times New Roman" w:eastAsia="SimSun" w:cs="Times New Roman"/>
                <w:kern w:val="3"/>
                <w:sz w:val="24"/>
                <w:szCs w:val="24"/>
                <w:lang w:eastAsia="en-US" w:bidi="hi-IN"/>
              </w:rPr>
            </w:pPr>
          </w:p>
          <w:p w14:paraId="7F7CBE2B">
            <w:pPr>
              <w:jc w:val="center"/>
              <w:rPr>
                <w:rFonts w:ascii="Times New Roman" w:hAnsi="Times New Roman" w:eastAsia="SimSun" w:cs="Times New Roman"/>
                <w:kern w:val="3"/>
                <w:sz w:val="24"/>
                <w:szCs w:val="24"/>
                <w:lang w:eastAsia="en-US" w:bidi="hi-IN"/>
              </w:rPr>
            </w:pPr>
          </w:p>
          <w:p w14:paraId="6F98731A">
            <w:pPr>
              <w:jc w:val="center"/>
              <w:rPr>
                <w:rFonts w:ascii="Times New Roman" w:hAnsi="Times New Roman" w:eastAsia="SimSun" w:cs="Times New Roman"/>
                <w:kern w:val="3"/>
                <w:sz w:val="24"/>
                <w:szCs w:val="24"/>
                <w:lang w:eastAsia="en-US" w:bidi="hi-IN"/>
              </w:rPr>
            </w:pPr>
          </w:p>
          <w:p w14:paraId="46849379">
            <w:pPr>
              <w:jc w:val="center"/>
              <w:rPr>
                <w:rFonts w:ascii="Times New Roman" w:hAnsi="Times New Roman" w:eastAsia="SimSun" w:cs="Times New Roman"/>
                <w:kern w:val="3"/>
                <w:sz w:val="24"/>
                <w:szCs w:val="24"/>
                <w:lang w:eastAsia="en-US" w:bidi="hi-IN"/>
              </w:rPr>
            </w:pPr>
          </w:p>
          <w:p w14:paraId="671A5981">
            <w:pPr>
              <w:jc w:val="center"/>
              <w:rPr>
                <w:rFonts w:ascii="Times New Roman" w:hAnsi="Times New Roman" w:eastAsia="SimSun" w:cs="Times New Roman"/>
                <w:kern w:val="3"/>
                <w:sz w:val="24"/>
                <w:szCs w:val="24"/>
                <w:lang w:eastAsia="en-US" w:bidi="hi-IN"/>
              </w:rPr>
            </w:pPr>
          </w:p>
          <w:p w14:paraId="78E88DD1">
            <w:pPr>
              <w:jc w:val="center"/>
              <w:rPr>
                <w:rFonts w:ascii="Times New Roman" w:hAnsi="Times New Roman" w:eastAsia="SimSun" w:cs="Times New Roman"/>
                <w:kern w:val="3"/>
                <w:sz w:val="24"/>
                <w:szCs w:val="24"/>
                <w:lang w:eastAsia="en-US" w:bidi="hi-IN"/>
              </w:rPr>
            </w:pPr>
          </w:p>
          <w:p w14:paraId="0C95709B">
            <w:pPr>
              <w:jc w:val="center"/>
              <w:rPr>
                <w:rFonts w:ascii="Times New Roman" w:hAnsi="Times New Roman" w:eastAsia="SimSun" w:cs="Times New Roman"/>
                <w:kern w:val="3"/>
                <w:sz w:val="24"/>
                <w:szCs w:val="24"/>
                <w:lang w:eastAsia="en-US" w:bidi="hi-IN"/>
              </w:rPr>
            </w:pPr>
          </w:p>
          <w:p w14:paraId="5C0DB084">
            <w:pPr>
              <w:jc w:val="center"/>
              <w:rPr>
                <w:rFonts w:ascii="Times New Roman" w:hAnsi="Times New Roman" w:eastAsia="SimSun" w:cs="Times New Roman"/>
                <w:kern w:val="3"/>
                <w:sz w:val="24"/>
                <w:szCs w:val="24"/>
                <w:lang w:eastAsia="en-US" w:bidi="hi-IN"/>
              </w:rPr>
            </w:pPr>
          </w:p>
          <w:p w14:paraId="1439995D">
            <w:pPr>
              <w:jc w:val="center"/>
              <w:rPr>
                <w:rFonts w:ascii="Times New Roman" w:hAnsi="Times New Roman" w:eastAsia="SimSun" w:cs="Times New Roman"/>
                <w:kern w:val="3"/>
                <w:sz w:val="24"/>
                <w:szCs w:val="24"/>
                <w:lang w:eastAsia="en-US" w:bidi="hi-IN"/>
              </w:rPr>
            </w:pPr>
          </w:p>
          <w:p w14:paraId="00BD3D5C">
            <w:pPr>
              <w:jc w:val="center"/>
              <w:rPr>
                <w:rFonts w:ascii="Times New Roman" w:hAnsi="Times New Roman" w:eastAsia="SimSun" w:cs="Times New Roman"/>
                <w:kern w:val="3"/>
                <w:sz w:val="24"/>
                <w:szCs w:val="24"/>
                <w:lang w:eastAsia="en-US" w:bidi="hi-IN"/>
              </w:rPr>
            </w:pPr>
          </w:p>
          <w:p w14:paraId="76E7AB37">
            <w:pPr>
              <w:jc w:val="center"/>
              <w:rPr>
                <w:rFonts w:ascii="Times New Roman" w:hAnsi="Times New Roman" w:eastAsia="SimSun" w:cs="Times New Roman"/>
                <w:kern w:val="3"/>
                <w:sz w:val="24"/>
                <w:szCs w:val="24"/>
                <w:lang w:eastAsia="en-US" w:bidi="hi-IN"/>
              </w:rPr>
            </w:pPr>
          </w:p>
          <w:p w14:paraId="30A0510C">
            <w:pPr>
              <w:jc w:val="center"/>
              <w:rPr>
                <w:rFonts w:ascii="Times New Roman" w:hAnsi="Times New Roman" w:eastAsia="SimSun" w:cs="Times New Roman"/>
                <w:kern w:val="3"/>
                <w:sz w:val="24"/>
                <w:szCs w:val="24"/>
                <w:lang w:eastAsia="en-US" w:bidi="hi-IN"/>
              </w:rPr>
            </w:pPr>
          </w:p>
          <w:p w14:paraId="11520650">
            <w:pPr>
              <w:jc w:val="center"/>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02</w:t>
            </w:r>
          </w:p>
        </w:tc>
        <w:tc>
          <w:tcPr>
            <w:tcW w:w="993" w:type="dxa"/>
            <w:shd w:val="clear" w:color="auto" w:fill="auto"/>
          </w:tcPr>
          <w:p w14:paraId="12C8F372">
            <w:pPr>
              <w:jc w:val="center"/>
              <w:rPr>
                <w:rFonts w:ascii="Times New Roman" w:hAnsi="Times New Roman" w:cs="Times New Roman" w:eastAsiaTheme="minorHAnsi"/>
                <w:color w:val="000000"/>
                <w:sz w:val="24"/>
                <w:szCs w:val="24"/>
                <w:lang w:eastAsia="en-US"/>
              </w:rPr>
            </w:pPr>
          </w:p>
          <w:p w14:paraId="423021B9">
            <w:pPr>
              <w:jc w:val="center"/>
              <w:rPr>
                <w:rFonts w:ascii="Times New Roman" w:hAnsi="Times New Roman" w:cs="Times New Roman" w:eastAsiaTheme="minorHAnsi"/>
                <w:color w:val="000000"/>
                <w:sz w:val="24"/>
                <w:szCs w:val="24"/>
                <w:lang w:eastAsia="en-US"/>
              </w:rPr>
            </w:pPr>
          </w:p>
          <w:p w14:paraId="4B8A90B8">
            <w:pPr>
              <w:jc w:val="center"/>
              <w:rPr>
                <w:rFonts w:ascii="Times New Roman" w:hAnsi="Times New Roman" w:cs="Times New Roman" w:eastAsiaTheme="minorHAnsi"/>
                <w:color w:val="000000"/>
                <w:sz w:val="24"/>
                <w:szCs w:val="24"/>
                <w:lang w:eastAsia="en-US"/>
              </w:rPr>
            </w:pPr>
          </w:p>
          <w:p w14:paraId="1DDECCDF">
            <w:pPr>
              <w:jc w:val="center"/>
              <w:rPr>
                <w:rFonts w:ascii="Times New Roman" w:hAnsi="Times New Roman" w:cs="Times New Roman" w:eastAsiaTheme="minorHAnsi"/>
                <w:color w:val="000000"/>
                <w:sz w:val="24"/>
                <w:szCs w:val="24"/>
                <w:lang w:eastAsia="en-US"/>
              </w:rPr>
            </w:pPr>
          </w:p>
          <w:p w14:paraId="07663B51">
            <w:pPr>
              <w:jc w:val="center"/>
              <w:rPr>
                <w:rFonts w:ascii="Times New Roman" w:hAnsi="Times New Roman" w:cs="Times New Roman" w:eastAsiaTheme="minorHAnsi"/>
                <w:color w:val="000000"/>
                <w:sz w:val="24"/>
                <w:szCs w:val="24"/>
                <w:lang w:eastAsia="en-US"/>
              </w:rPr>
            </w:pPr>
          </w:p>
          <w:p w14:paraId="77FE3DA8">
            <w:pPr>
              <w:jc w:val="center"/>
              <w:rPr>
                <w:rFonts w:ascii="Times New Roman" w:hAnsi="Times New Roman" w:cs="Times New Roman" w:eastAsiaTheme="minorHAnsi"/>
                <w:color w:val="000000"/>
                <w:sz w:val="24"/>
                <w:szCs w:val="24"/>
                <w:lang w:eastAsia="en-US"/>
              </w:rPr>
            </w:pPr>
          </w:p>
          <w:p w14:paraId="6F904ED0">
            <w:pPr>
              <w:jc w:val="center"/>
              <w:rPr>
                <w:rFonts w:ascii="Times New Roman" w:hAnsi="Times New Roman" w:cs="Times New Roman" w:eastAsiaTheme="minorHAnsi"/>
                <w:color w:val="000000"/>
                <w:sz w:val="24"/>
                <w:szCs w:val="24"/>
                <w:lang w:eastAsia="en-US"/>
              </w:rPr>
            </w:pPr>
          </w:p>
          <w:p w14:paraId="0E2C7A46">
            <w:pPr>
              <w:jc w:val="center"/>
              <w:rPr>
                <w:rFonts w:ascii="Times New Roman" w:hAnsi="Times New Roman" w:cs="Times New Roman" w:eastAsiaTheme="minorHAnsi"/>
                <w:color w:val="000000"/>
                <w:sz w:val="24"/>
                <w:szCs w:val="24"/>
                <w:lang w:eastAsia="en-US"/>
              </w:rPr>
            </w:pPr>
          </w:p>
          <w:p w14:paraId="5B5B9AE2">
            <w:pPr>
              <w:jc w:val="center"/>
              <w:rPr>
                <w:rFonts w:ascii="Times New Roman" w:hAnsi="Times New Roman" w:cs="Times New Roman" w:eastAsiaTheme="minorHAnsi"/>
                <w:color w:val="000000"/>
                <w:sz w:val="24"/>
                <w:szCs w:val="24"/>
                <w:lang w:eastAsia="en-US"/>
              </w:rPr>
            </w:pPr>
          </w:p>
          <w:p w14:paraId="6451A691">
            <w:pPr>
              <w:jc w:val="center"/>
              <w:rPr>
                <w:rFonts w:ascii="Times New Roman" w:hAnsi="Times New Roman" w:cs="Times New Roman" w:eastAsiaTheme="minorHAnsi"/>
                <w:color w:val="000000"/>
                <w:sz w:val="24"/>
                <w:szCs w:val="24"/>
                <w:lang w:eastAsia="en-US"/>
              </w:rPr>
            </w:pPr>
          </w:p>
          <w:p w14:paraId="2B6FFA0B">
            <w:pPr>
              <w:jc w:val="center"/>
              <w:rPr>
                <w:rFonts w:ascii="Times New Roman" w:hAnsi="Times New Roman" w:cs="Times New Roman" w:eastAsiaTheme="minorHAnsi"/>
                <w:color w:val="000000"/>
                <w:sz w:val="24"/>
                <w:szCs w:val="24"/>
                <w:lang w:eastAsia="en-US"/>
              </w:rPr>
            </w:pPr>
          </w:p>
          <w:p w14:paraId="01D84B05">
            <w:pPr>
              <w:jc w:val="center"/>
              <w:rPr>
                <w:rFonts w:ascii="Times New Roman" w:hAnsi="Times New Roman" w:cs="Times New Roman" w:eastAsiaTheme="minorHAnsi"/>
                <w:color w:val="000000"/>
                <w:sz w:val="24"/>
                <w:szCs w:val="24"/>
                <w:lang w:eastAsia="en-US"/>
              </w:rPr>
            </w:pPr>
          </w:p>
          <w:p w14:paraId="61C2BC2E">
            <w:pPr>
              <w:jc w:val="center"/>
              <w:rPr>
                <w:rFonts w:ascii="Times New Roman" w:hAnsi="Times New Roman" w:cs="Times New Roman" w:eastAsiaTheme="minorHAnsi"/>
                <w:color w:val="000000"/>
                <w:sz w:val="24"/>
                <w:szCs w:val="24"/>
                <w:lang w:eastAsia="en-US"/>
              </w:rPr>
            </w:pPr>
          </w:p>
          <w:p w14:paraId="06BA27DA">
            <w:pPr>
              <w:jc w:val="center"/>
              <w:rPr>
                <w:rFonts w:ascii="Times New Roman" w:hAnsi="Times New Roman" w:cs="Times New Roman" w:eastAsiaTheme="minorHAnsi"/>
                <w:color w:val="000000"/>
                <w:sz w:val="24"/>
                <w:szCs w:val="24"/>
                <w:lang w:eastAsia="en-US"/>
              </w:rPr>
            </w:pPr>
          </w:p>
          <w:p w14:paraId="2E979955">
            <w:pPr>
              <w:jc w:val="center"/>
              <w:rPr>
                <w:rFonts w:ascii="Times New Roman" w:hAnsi="Times New Roman" w:cs="Times New Roman" w:eastAsiaTheme="minorHAnsi"/>
                <w:color w:val="000000"/>
                <w:sz w:val="24"/>
                <w:szCs w:val="24"/>
                <w:lang w:eastAsia="en-US"/>
              </w:rPr>
            </w:pPr>
          </w:p>
          <w:p w14:paraId="08E22221">
            <w:pPr>
              <w:jc w:val="center"/>
              <w:rPr>
                <w:rFonts w:ascii="Times New Roman" w:hAnsi="Times New Roman" w:cs="Times New Roman" w:eastAsiaTheme="minorHAnsi"/>
                <w:color w:val="000000"/>
                <w:sz w:val="24"/>
                <w:szCs w:val="24"/>
                <w:lang w:eastAsia="en-US"/>
              </w:rPr>
            </w:pPr>
          </w:p>
          <w:p w14:paraId="66441411">
            <w:pPr>
              <w:jc w:val="center"/>
              <w:rPr>
                <w:rFonts w:ascii="Times New Roman" w:hAnsi="Times New Roman" w:cs="Times New Roman" w:eastAsiaTheme="minorHAnsi"/>
                <w:color w:val="000000"/>
                <w:sz w:val="24"/>
                <w:szCs w:val="24"/>
                <w:lang w:eastAsia="en-US"/>
              </w:rPr>
            </w:pPr>
          </w:p>
          <w:p w14:paraId="5CC2C656">
            <w:pPr>
              <w:jc w:val="center"/>
              <w:rPr>
                <w:rFonts w:ascii="Times New Roman" w:hAnsi="Times New Roman" w:cs="Times New Roman" w:eastAsiaTheme="minorHAnsi"/>
                <w:color w:val="000000"/>
                <w:sz w:val="24"/>
                <w:szCs w:val="24"/>
                <w:lang w:eastAsia="en-US"/>
              </w:rPr>
            </w:pPr>
          </w:p>
          <w:p w14:paraId="373FBC3E">
            <w:pPr>
              <w:jc w:val="center"/>
              <w:rPr>
                <w:rFonts w:ascii="Times New Roman" w:hAnsi="Times New Roman" w:cs="Times New Roman" w:eastAsiaTheme="minorHAnsi"/>
                <w:color w:val="000000"/>
                <w:sz w:val="24"/>
                <w:szCs w:val="24"/>
                <w:lang w:eastAsia="en-US"/>
              </w:rPr>
            </w:pPr>
          </w:p>
          <w:p w14:paraId="232558B0">
            <w:pPr>
              <w:jc w:val="center"/>
              <w:rPr>
                <w:rFonts w:ascii="Times New Roman" w:hAnsi="Times New Roman" w:cs="Times New Roman" w:eastAsiaTheme="minorHAnsi"/>
                <w:color w:val="000000"/>
                <w:sz w:val="24"/>
                <w:szCs w:val="24"/>
                <w:lang w:eastAsia="en-US"/>
              </w:rPr>
            </w:pPr>
          </w:p>
          <w:p w14:paraId="6AC81A52">
            <w:pPr>
              <w:jc w:val="center"/>
              <w:rPr>
                <w:rFonts w:ascii="Times New Roman" w:hAnsi="Times New Roman" w:cs="Times New Roman" w:eastAsiaTheme="minorHAnsi"/>
                <w:color w:val="000000"/>
                <w:sz w:val="24"/>
                <w:szCs w:val="24"/>
                <w:lang w:eastAsia="en-US"/>
              </w:rPr>
            </w:pPr>
          </w:p>
          <w:p w14:paraId="19A6B972">
            <w:pPr>
              <w:jc w:val="center"/>
              <w:rPr>
                <w:rFonts w:ascii="Times New Roman" w:hAnsi="Times New Roman" w:cs="Times New Roman" w:eastAsiaTheme="minorHAnsi"/>
                <w:color w:val="000000"/>
                <w:sz w:val="24"/>
                <w:szCs w:val="24"/>
                <w:lang w:eastAsia="en-US"/>
              </w:rPr>
            </w:pPr>
          </w:p>
          <w:p w14:paraId="2C25156B">
            <w:pPr>
              <w:jc w:val="center"/>
              <w:rPr>
                <w:rFonts w:ascii="Times New Roman" w:hAnsi="Times New Roman" w:cs="Times New Roman" w:eastAsiaTheme="minorHAnsi"/>
                <w:color w:val="000000"/>
                <w:sz w:val="24"/>
                <w:szCs w:val="24"/>
                <w:lang w:eastAsia="en-US"/>
              </w:rPr>
            </w:pPr>
          </w:p>
          <w:p w14:paraId="25B37CE5">
            <w:pPr>
              <w:jc w:val="center"/>
              <w:rPr>
                <w:rFonts w:ascii="Times New Roman" w:hAnsi="Times New Roman" w:cs="Times New Roman" w:eastAsiaTheme="minorHAnsi"/>
                <w:color w:val="000000"/>
                <w:sz w:val="24"/>
                <w:szCs w:val="24"/>
                <w:lang w:eastAsia="en-US"/>
              </w:rPr>
            </w:pPr>
          </w:p>
          <w:p w14:paraId="71CB1A8E">
            <w:pPr>
              <w:jc w:val="center"/>
              <w:rPr>
                <w:rFonts w:ascii="Times New Roman" w:hAnsi="Times New Roman" w:cs="Times New Roman" w:eastAsiaTheme="minorHAnsi"/>
                <w:color w:val="000000"/>
                <w:sz w:val="24"/>
                <w:szCs w:val="24"/>
                <w:lang w:eastAsia="en-US"/>
              </w:rPr>
            </w:pPr>
          </w:p>
          <w:p w14:paraId="17C6B0BA">
            <w:pPr>
              <w:jc w:val="center"/>
              <w:rPr>
                <w:rFonts w:ascii="Times New Roman" w:hAnsi="Times New Roman" w:cs="Times New Roman" w:eastAsiaTheme="minorHAnsi"/>
                <w:color w:val="000000"/>
                <w:sz w:val="24"/>
                <w:szCs w:val="24"/>
                <w:lang w:eastAsia="en-US"/>
              </w:rPr>
            </w:pPr>
          </w:p>
          <w:p w14:paraId="3C767BDA">
            <w:pPr>
              <w:jc w:val="center"/>
              <w:rPr>
                <w:rFonts w:ascii="Times New Roman" w:hAnsi="Times New Roman" w:cs="Times New Roman" w:eastAsiaTheme="minorHAnsi"/>
                <w:color w:val="000000"/>
                <w:sz w:val="24"/>
                <w:szCs w:val="24"/>
                <w:lang w:eastAsia="en-US"/>
              </w:rPr>
            </w:pPr>
          </w:p>
          <w:p w14:paraId="287A4173">
            <w:pPr>
              <w:jc w:val="center"/>
              <w:rPr>
                <w:rFonts w:ascii="Times New Roman" w:hAnsi="Times New Roman" w:cs="Times New Roman" w:eastAsiaTheme="minorHAnsi"/>
                <w:color w:val="000000"/>
                <w:sz w:val="24"/>
                <w:szCs w:val="24"/>
                <w:lang w:eastAsia="en-US"/>
              </w:rPr>
            </w:pPr>
          </w:p>
          <w:p w14:paraId="752D97CA">
            <w:pPr>
              <w:jc w:val="center"/>
              <w:rPr>
                <w:rFonts w:ascii="Times New Roman" w:hAnsi="Times New Roman" w:cs="Times New Roman" w:eastAsiaTheme="minorHAnsi"/>
                <w:color w:val="000000"/>
                <w:sz w:val="24"/>
                <w:szCs w:val="24"/>
                <w:lang w:eastAsia="en-US"/>
              </w:rPr>
            </w:pPr>
          </w:p>
          <w:p w14:paraId="7125175E">
            <w:pPr>
              <w:jc w:val="center"/>
              <w:rPr>
                <w:rFonts w:ascii="Times New Roman" w:hAnsi="Times New Roman" w:cs="Times New Roman" w:eastAsiaTheme="minorHAnsi"/>
                <w:color w:val="000000"/>
                <w:sz w:val="24"/>
                <w:szCs w:val="24"/>
                <w:lang w:eastAsia="en-US"/>
              </w:rPr>
            </w:pPr>
          </w:p>
          <w:p w14:paraId="36FE5C12">
            <w:pPr>
              <w:jc w:val="center"/>
              <w:rPr>
                <w:rFonts w:ascii="Times New Roman" w:hAnsi="Times New Roman" w:cs="Times New Roman" w:eastAsiaTheme="minorHAnsi"/>
                <w:color w:val="000000"/>
                <w:sz w:val="24"/>
                <w:szCs w:val="24"/>
                <w:lang w:eastAsia="en-US"/>
              </w:rPr>
            </w:pPr>
          </w:p>
          <w:p w14:paraId="571F002B">
            <w:pPr>
              <w:jc w:val="center"/>
              <w:rPr>
                <w:rFonts w:ascii="Times New Roman" w:hAnsi="Times New Roman" w:cs="Times New Roman" w:eastAsiaTheme="minorHAnsi"/>
                <w:color w:val="000000"/>
                <w:sz w:val="24"/>
                <w:szCs w:val="24"/>
                <w:lang w:eastAsia="en-US"/>
              </w:rPr>
            </w:pPr>
          </w:p>
          <w:p w14:paraId="5B566575">
            <w:pPr>
              <w:jc w:val="center"/>
              <w:rPr>
                <w:rFonts w:ascii="Times New Roman" w:hAnsi="Times New Roman" w:cs="Times New Roman" w:eastAsiaTheme="minorHAnsi"/>
                <w:color w:val="000000"/>
                <w:sz w:val="24"/>
                <w:szCs w:val="24"/>
                <w:lang w:eastAsia="en-US"/>
              </w:rPr>
            </w:pPr>
          </w:p>
          <w:p w14:paraId="1C7F32AA">
            <w:pPr>
              <w:jc w:val="center"/>
              <w:rPr>
                <w:rFonts w:ascii="Times New Roman" w:hAnsi="Times New Roman" w:cs="Times New Roman" w:eastAsiaTheme="minorHAnsi"/>
                <w:color w:val="000000"/>
                <w:sz w:val="24"/>
                <w:szCs w:val="24"/>
                <w:lang w:eastAsia="en-US"/>
              </w:rPr>
            </w:pPr>
          </w:p>
          <w:p w14:paraId="56C77295">
            <w:pPr>
              <w:jc w:val="center"/>
              <w:rPr>
                <w:rFonts w:ascii="Times New Roman" w:hAnsi="Times New Roman" w:cs="Times New Roman" w:eastAsiaTheme="minorHAnsi"/>
                <w:color w:val="000000"/>
                <w:sz w:val="24"/>
                <w:szCs w:val="24"/>
                <w:lang w:eastAsia="en-US"/>
              </w:rPr>
            </w:pPr>
          </w:p>
          <w:p w14:paraId="3C839B44">
            <w:pPr>
              <w:jc w:val="center"/>
              <w:rPr>
                <w:rFonts w:ascii="Times New Roman" w:hAnsi="Times New Roman" w:cs="Times New Roman" w:eastAsiaTheme="minorHAnsi"/>
                <w:color w:val="000000"/>
                <w:sz w:val="24"/>
                <w:szCs w:val="24"/>
                <w:lang w:eastAsia="en-US"/>
              </w:rPr>
            </w:pPr>
          </w:p>
          <w:p w14:paraId="1FE85114">
            <w:pPr>
              <w:jc w:val="center"/>
              <w:rPr>
                <w:rFonts w:ascii="Times New Roman" w:hAnsi="Times New Roman" w:cs="Times New Roman" w:eastAsiaTheme="minorHAnsi"/>
                <w:color w:val="000000"/>
                <w:sz w:val="24"/>
                <w:szCs w:val="24"/>
                <w:lang w:eastAsia="en-US"/>
              </w:rPr>
            </w:pPr>
            <w:r>
              <w:rPr>
                <w:rFonts w:ascii="Times New Roman" w:hAnsi="Times New Roman" w:cs="Times New Roman" w:eastAsiaTheme="minorHAnsi"/>
                <w:color w:val="000000"/>
                <w:sz w:val="24"/>
                <w:szCs w:val="24"/>
                <w:lang w:eastAsia="en-US"/>
              </w:rPr>
              <w:t>01</w:t>
            </w:r>
          </w:p>
        </w:tc>
        <w:tc>
          <w:tcPr>
            <w:tcW w:w="1701" w:type="dxa"/>
            <w:shd w:val="clear" w:color="auto" w:fill="auto"/>
            <w:vAlign w:val="bottom"/>
          </w:tcPr>
          <w:p w14:paraId="2E7B29C8">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Monovolume</w:t>
            </w:r>
          </w:p>
          <w:p w14:paraId="45FEBC5E">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minivan</w:t>
            </w:r>
          </w:p>
        </w:tc>
        <w:tc>
          <w:tcPr>
            <w:tcW w:w="3685" w:type="dxa"/>
            <w:shd w:val="clear" w:color="auto" w:fill="auto"/>
            <w:vAlign w:val="bottom"/>
          </w:tcPr>
          <w:p w14:paraId="588D2C6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Veículo utilitário do tipo spin</w:t>
            </w:r>
          </w:p>
          <w:p w14:paraId="3AED457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novo, zero km, com as</w:t>
            </w:r>
          </w:p>
          <w:p w14:paraId="3B8F664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seguintes características:</w:t>
            </w:r>
          </w:p>
          <w:p w14:paraId="0752E55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veículo de 7 lugares, na cor</w:t>
            </w:r>
          </w:p>
          <w:p w14:paraId="1236168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branca, zero km, ano</w:t>
            </w:r>
          </w:p>
          <w:p w14:paraId="4009EDB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2024/2025, controle de</w:t>
            </w:r>
          </w:p>
          <w:p w14:paraId="57F053D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estabilidade e tração, travas</w:t>
            </w:r>
          </w:p>
          <w:p w14:paraId="39CCAC2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segurança nas portas</w:t>
            </w:r>
          </w:p>
          <w:p w14:paraId="7BF5409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traseiras, airbag duplo e</w:t>
            </w:r>
          </w:p>
          <w:p w14:paraId="0ABBB45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alarme antifurto, sistemas</w:t>
            </w:r>
          </w:p>
          <w:p w14:paraId="5E01BB7A">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fixação isofix e top tether</w:t>
            </w:r>
          </w:p>
          <w:p w14:paraId="038223A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para cadeirinhas infantis,</w:t>
            </w:r>
          </w:p>
          <w:p w14:paraId="329F23A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rodas são de alumínio aro</w:t>
            </w:r>
          </w:p>
          <w:p w14:paraId="1E26761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16' rodas alumínio 6,5j x 16,</w:t>
            </w:r>
          </w:p>
          <w:p w14:paraId="448BFB7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pneus radiais 205/60 r16,</w:t>
            </w:r>
          </w:p>
          <w:p w14:paraId="493B9C5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capacidade de carga para</w:t>
            </w:r>
          </w:p>
          <w:p w14:paraId="0EE881D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162l e pode chegar a 553l</w:t>
            </w:r>
          </w:p>
          <w:p w14:paraId="08CA6B6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com o rebatimento do banco</w:t>
            </w:r>
          </w:p>
          <w:p w14:paraId="588714C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traseiro, câmbio automático</w:t>
            </w:r>
          </w:p>
          <w:p w14:paraId="5134DF4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6 velocidades, direção</w:t>
            </w:r>
          </w:p>
          <w:p w14:paraId="7466571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elétrica progressiva, motor</w:t>
            </w:r>
          </w:p>
          <w:p w14:paraId="1529202C">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1.8 spe/4 eco de 4 cilindros</w:t>
            </w:r>
          </w:p>
          <w:p w14:paraId="65C3FEA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 111cv de potência,</w:t>
            </w:r>
          </w:p>
          <w:p w14:paraId="2B0CBE6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bluetooth® e controles de</w:t>
            </w:r>
          </w:p>
          <w:p w14:paraId="22F26E8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rádio e telefone integrados</w:t>
            </w:r>
          </w:p>
          <w:p w14:paraId="498738D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ao volante, sensor de</w:t>
            </w:r>
          </w:p>
          <w:p w14:paraId="639B627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estacionamento, câmera de</w:t>
            </w:r>
          </w:p>
          <w:p w14:paraId="5B1E814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ré e central multimídia tela</w:t>
            </w:r>
          </w:p>
          <w:p w14:paraId="3C530E5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touchscreen de 7 polegadas</w:t>
            </w:r>
          </w:p>
          <w:p w14:paraId="5958D46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 de alta precisão, sistema</w:t>
            </w:r>
          </w:p>
          <w:p w14:paraId="3FD935E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freios hidráulico com</w:t>
            </w:r>
          </w:p>
          <w:p w14:paraId="0AF4D70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duplo circuito distribuído em</w:t>
            </w:r>
          </w:p>
          <w:p w14:paraId="6DE8E1C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diagonal, freios dianteiros a</w:t>
            </w:r>
          </w:p>
          <w:p w14:paraId="1A2B8EA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disco ventilado, freios</w:t>
            </w:r>
          </w:p>
          <w:p w14:paraId="140B747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traseiros a tambor,</w:t>
            </w:r>
          </w:p>
          <w:p w14:paraId="167F684D">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suspensão dianteira</w:t>
            </w:r>
          </w:p>
          <w:p w14:paraId="30D10380">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independente tipo</w:t>
            </w:r>
          </w:p>
          <w:p w14:paraId="5D8021CF">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"Mcpherson" / barra</w:t>
            </w:r>
          </w:p>
          <w:p w14:paraId="179DFA0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estabilizadora ligada a haste</w:t>
            </w:r>
          </w:p>
          <w:p w14:paraId="228D099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tensora /molas helicoidais</w:t>
            </w:r>
          </w:p>
          <w:p w14:paraId="17B526FE">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com carga lateral linear</w:t>
            </w:r>
          </w:p>
          <w:p w14:paraId="1BA5A8E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amortecedor telescópico</w:t>
            </w:r>
          </w:p>
          <w:p w14:paraId="3D4D7C7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pressurizado estrutural,</w:t>
            </w:r>
          </w:p>
          <w:p w14:paraId="60AC8CD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suspensão traseira</w:t>
            </w:r>
          </w:p>
          <w:p w14:paraId="56A3E30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semiindependente com eixo</w:t>
            </w:r>
          </w:p>
          <w:p w14:paraId="68488177">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de torção / barra</w:t>
            </w:r>
          </w:p>
          <w:p w14:paraId="409BA5D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 xml:space="preserve">estabilizadora soldada no </w:t>
            </w:r>
            <w:r>
              <w:rPr>
                <w:rFonts w:asciiTheme="minorHAnsi" w:hAnsiTheme="minorHAnsi" w:eastAsiaTheme="minorHAnsi" w:cstheme="minorBidi"/>
                <w:sz w:val="22"/>
                <w:szCs w:val="22"/>
                <w:lang w:eastAsia="en-US"/>
              </w:rPr>
              <w:t xml:space="preserve"> </w:t>
            </w:r>
            <w:r>
              <w:rPr>
                <w:rFonts w:ascii="Times New Roman" w:hAnsi="Times New Roman" w:eastAsia="SimSun" w:cs="Times New Roman"/>
                <w:color w:val="000000"/>
                <w:sz w:val="24"/>
                <w:szCs w:val="24"/>
                <w:lang w:eastAsia="zh-CN" w:bidi="ar"/>
              </w:rPr>
              <w:t>eixo traseiro / mola</w:t>
            </w:r>
          </w:p>
          <w:p w14:paraId="2E3633B9">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helicoidal com constante</w:t>
            </w:r>
          </w:p>
          <w:p w14:paraId="706B1B6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elástica linear / amortecedor</w:t>
            </w:r>
          </w:p>
          <w:p w14:paraId="5806CDB4">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telescópico pressurizado,</w:t>
            </w:r>
          </w:p>
          <w:p w14:paraId="180E4E55">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tanque de combustível 53</w:t>
            </w:r>
          </w:p>
          <w:p w14:paraId="77DFC17B">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litros. Destinado a Secretaria</w:t>
            </w:r>
          </w:p>
          <w:p w14:paraId="5E0E8B23">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Municipal de Saúde.</w:t>
            </w:r>
          </w:p>
        </w:tc>
        <w:tc>
          <w:tcPr>
            <w:tcW w:w="1559" w:type="dxa"/>
            <w:shd w:val="clear" w:color="auto" w:fill="auto"/>
            <w:vAlign w:val="bottom"/>
          </w:tcPr>
          <w:p w14:paraId="6EFC968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R$160.447,06</w:t>
            </w:r>
          </w:p>
        </w:tc>
        <w:tc>
          <w:tcPr>
            <w:tcW w:w="1961" w:type="dxa"/>
            <w:shd w:val="clear" w:color="auto" w:fill="auto"/>
            <w:vAlign w:val="bottom"/>
          </w:tcPr>
          <w:p w14:paraId="6B26B611">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R$160,447,06</w:t>
            </w:r>
          </w:p>
        </w:tc>
      </w:tr>
      <w:tr w14:paraId="2A1A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129" w:type="dxa"/>
            <w:shd w:val="clear" w:color="auto" w:fill="auto"/>
          </w:tcPr>
          <w:p w14:paraId="3B60BE9C">
            <w:pPr>
              <w:jc w:val="right"/>
              <w:textAlignment w:val="top"/>
              <w:rPr>
                <w:rFonts w:ascii="Times New Roman" w:hAnsi="Times New Roman" w:eastAsia="SimSun" w:cs="Times New Roman"/>
                <w:color w:val="000000"/>
                <w:sz w:val="24"/>
                <w:szCs w:val="24"/>
                <w:lang w:val="en-US" w:eastAsia="zh-CN" w:bidi="ar"/>
              </w:rPr>
            </w:pPr>
          </w:p>
        </w:tc>
        <w:tc>
          <w:tcPr>
            <w:tcW w:w="993" w:type="dxa"/>
            <w:shd w:val="clear" w:color="auto" w:fill="auto"/>
          </w:tcPr>
          <w:p w14:paraId="097D4456">
            <w:pPr>
              <w:jc w:val="center"/>
              <w:rPr>
                <w:rFonts w:ascii="Times New Roman" w:hAnsi="Times New Roman" w:cs="Times New Roman" w:eastAsiaTheme="minorHAnsi"/>
                <w:sz w:val="24"/>
                <w:szCs w:val="24"/>
                <w:lang w:eastAsia="en-US"/>
              </w:rPr>
            </w:pPr>
          </w:p>
        </w:tc>
        <w:tc>
          <w:tcPr>
            <w:tcW w:w="1701" w:type="dxa"/>
            <w:shd w:val="clear" w:color="auto" w:fill="auto"/>
          </w:tcPr>
          <w:p w14:paraId="25B34CAB">
            <w:pPr>
              <w:rPr>
                <w:rFonts w:ascii="Times New Roman" w:hAnsi="Times New Roman" w:cs="Times New Roman" w:eastAsiaTheme="minorHAnsi"/>
                <w:b/>
                <w:color w:val="000000"/>
                <w:sz w:val="24"/>
                <w:szCs w:val="24"/>
                <w:lang w:eastAsia="en-US"/>
              </w:rPr>
            </w:pPr>
            <w:r>
              <w:rPr>
                <w:rFonts w:ascii="Times New Roman" w:hAnsi="Times New Roman" w:cs="Times New Roman" w:eastAsiaTheme="minorHAnsi"/>
                <w:b/>
                <w:color w:val="000000"/>
                <w:sz w:val="24"/>
                <w:szCs w:val="24"/>
                <w:lang w:eastAsia="en-US"/>
              </w:rPr>
              <w:t>TOTAL:</w:t>
            </w:r>
          </w:p>
        </w:tc>
        <w:tc>
          <w:tcPr>
            <w:tcW w:w="3685" w:type="dxa"/>
          </w:tcPr>
          <w:p w14:paraId="6A910327">
            <w:pPr>
              <w:pStyle w:val="77"/>
              <w:jc w:val="center"/>
              <w:rPr>
                <w:rFonts w:ascii="Times New Roman" w:hAnsi="Times New Roman" w:eastAsia="SimSun" w:cs="Times New Roman"/>
                <w:sz w:val="24"/>
                <w:szCs w:val="24"/>
                <w:lang w:eastAsia="en-US"/>
              </w:rPr>
            </w:pPr>
          </w:p>
        </w:tc>
        <w:tc>
          <w:tcPr>
            <w:tcW w:w="1559" w:type="dxa"/>
            <w:shd w:val="clear" w:color="auto" w:fill="auto"/>
            <w:vAlign w:val="bottom"/>
          </w:tcPr>
          <w:p w14:paraId="5832D080">
            <w:pPr>
              <w:jc w:val="center"/>
              <w:textAlignment w:val="bottom"/>
              <w:rPr>
                <w:rFonts w:ascii="Times New Roman" w:hAnsi="Times New Roman" w:eastAsia="SimSun" w:cs="Times New Roman"/>
                <w:color w:val="000000"/>
                <w:sz w:val="24"/>
                <w:szCs w:val="24"/>
                <w:lang w:eastAsia="zh-CN" w:bidi="ar"/>
              </w:rPr>
            </w:pPr>
          </w:p>
        </w:tc>
        <w:tc>
          <w:tcPr>
            <w:tcW w:w="1961" w:type="dxa"/>
            <w:shd w:val="clear" w:color="auto" w:fill="auto"/>
            <w:vAlign w:val="bottom"/>
          </w:tcPr>
          <w:p w14:paraId="30759678">
            <w:pPr>
              <w:jc w:val="center"/>
              <w:textAlignment w:val="bottom"/>
              <w:rPr>
                <w:rFonts w:ascii="Times New Roman" w:hAnsi="Times New Roman" w:eastAsia="SimSun" w:cs="Times New Roman"/>
                <w:b/>
                <w:color w:val="000000"/>
                <w:sz w:val="24"/>
                <w:szCs w:val="24"/>
                <w:lang w:eastAsia="zh-CN" w:bidi="ar"/>
              </w:rPr>
            </w:pPr>
            <w:r>
              <w:rPr>
                <w:rFonts w:ascii="Times New Roman" w:hAnsi="Times New Roman" w:eastAsia="SimSun" w:cs="Times New Roman"/>
                <w:b/>
                <w:color w:val="000000"/>
                <w:sz w:val="24"/>
                <w:szCs w:val="24"/>
                <w:lang w:eastAsia="zh-CN" w:bidi="ar"/>
              </w:rPr>
              <w:t>R$ 544.604,26</w:t>
            </w:r>
          </w:p>
        </w:tc>
      </w:tr>
    </w:tbl>
    <w:p w14:paraId="088F8095">
      <w:pPr>
        <w:spacing w:before="288" w:beforeLines="120" w:after="288" w:afterLines="120" w:line="276" w:lineRule="auto"/>
        <w:rPr>
          <w:sz w:val="24"/>
          <w:szCs w:val="24"/>
        </w:rPr>
      </w:pPr>
      <w:r>
        <w:rPr>
          <w:b/>
          <w:sz w:val="24"/>
          <w:szCs w:val="24"/>
        </w:rPr>
        <w:t>1.2.</w:t>
      </w:r>
      <w:r>
        <w:rPr>
          <w:sz w:val="24"/>
          <w:szCs w:val="24"/>
        </w:rPr>
        <w:t xml:space="preserve"> As informações constantes na tabela acima contêm a descrição dos itens que compõem o objeto do presente processo, apresenta as especificações completas dos itens a serem adquiridos, bem como a indicação das unidades e quantidades estimadas, em função do consumo e utilização prováveis.</w:t>
      </w:r>
    </w:p>
    <w:p w14:paraId="0B1AD309">
      <w:pPr>
        <w:spacing w:before="288" w:beforeLines="120" w:after="288" w:afterLines="120"/>
        <w:rPr>
          <w:sz w:val="24"/>
          <w:szCs w:val="24"/>
        </w:rPr>
      </w:pPr>
      <w:r>
        <w:rPr>
          <w:b/>
          <w:sz w:val="24"/>
          <w:szCs w:val="24"/>
        </w:rPr>
        <w:t>1.3.</w:t>
      </w:r>
      <w:r>
        <w:rPr>
          <w:sz w:val="24"/>
          <w:szCs w:val="24"/>
        </w:rPr>
        <w:t xml:space="preserve"> Na forma exigida pelo Art. 19, §2º da Lei n.º 14.133/2021, é de esclarecer que foi utilizado Painel de Preços e Banco de Preços até a presente data.</w:t>
      </w:r>
    </w:p>
    <w:p w14:paraId="74F1B279">
      <w:pPr>
        <w:spacing w:before="288" w:beforeLines="120" w:after="288" w:afterLines="120" w:line="288" w:lineRule="auto"/>
        <w:rPr>
          <w:sz w:val="24"/>
          <w:szCs w:val="24"/>
        </w:rPr>
      </w:pPr>
      <w:r>
        <w:rPr>
          <w:b/>
          <w:sz w:val="24"/>
          <w:szCs w:val="24"/>
        </w:rPr>
        <w:t>1.4.</w:t>
      </w:r>
      <w:r>
        <w:rPr>
          <w:sz w:val="24"/>
          <w:szCs w:val="24"/>
        </w:rPr>
        <w:t xml:space="preserve"> Trata-se de serviço comum, a ser contratado mediante licitação, na modalidade pregão, em sua forma eletrônica, conforme definido no art. 6º, XIII da Lei n.º 14.133/2021, uma vez que os padrões e qualidade estão objetivamente definidos, tendo como base as especificações usuais de mercado.</w:t>
      </w:r>
    </w:p>
    <w:p w14:paraId="5E9ADFD6">
      <w:pPr>
        <w:spacing w:before="288" w:beforeLines="120" w:after="288" w:afterLines="120" w:line="288" w:lineRule="auto"/>
        <w:rPr>
          <w:sz w:val="24"/>
          <w:szCs w:val="24"/>
        </w:rPr>
      </w:pPr>
      <w:r>
        <w:rPr>
          <w:b/>
          <w:sz w:val="24"/>
          <w:szCs w:val="24"/>
        </w:rPr>
        <w:t>1.5.</w:t>
      </w:r>
      <w:r>
        <w:rPr>
          <w:sz w:val="24"/>
          <w:szCs w:val="24"/>
        </w:rPr>
        <w:t xml:space="preserve"> A aquisição de veículos, se trata de necessidade permanente, conforme preconiza o art. 6.º, XV da Lei n.º 14.133/2021, sendo a vigência plurianual mais vantajosa para o presente objeto.</w:t>
      </w:r>
    </w:p>
    <w:p w14:paraId="39056CB8">
      <w:pPr>
        <w:spacing w:before="288" w:beforeLines="120" w:after="288" w:afterLines="120" w:line="288" w:lineRule="auto"/>
        <w:rPr>
          <w:sz w:val="24"/>
          <w:szCs w:val="24"/>
        </w:rPr>
      </w:pPr>
      <w:r>
        <w:rPr>
          <w:b/>
          <w:sz w:val="24"/>
          <w:szCs w:val="24"/>
        </w:rPr>
        <w:t>1.6.</w:t>
      </w:r>
      <w:r>
        <w:rPr>
          <w:sz w:val="24"/>
          <w:szCs w:val="24"/>
        </w:rPr>
        <w:t xml:space="preserve"> O prazo da vigência da Ata de Registro de Preço é de 12 (doze) meses, a contar da assinatura, na forma dos artigos 83 e 84, e Parágrafo Único, da Lei n.º 14.133/2021, prorrogável por interesse das partes, até o limite de 12 (doze) meses, desde que haja autorização formal da autoridade competente e observados os seguintes requisitos:</w:t>
      </w:r>
    </w:p>
    <w:p w14:paraId="312263C2">
      <w:pPr>
        <w:spacing w:before="288" w:beforeLines="120" w:after="288" w:afterLines="120" w:line="288" w:lineRule="auto"/>
        <w:rPr>
          <w:sz w:val="24"/>
          <w:szCs w:val="24"/>
        </w:rPr>
      </w:pPr>
      <w:r>
        <w:rPr>
          <w:b/>
          <w:sz w:val="24"/>
          <w:szCs w:val="24"/>
        </w:rPr>
        <w:t>1.6.1.</w:t>
      </w:r>
      <w:r>
        <w:rPr>
          <w:sz w:val="24"/>
          <w:szCs w:val="24"/>
        </w:rPr>
        <w:t xml:space="preserve"> seja juntada justificativa e motivo, por escrito, de que a Administração mantém interesse na prorrogação;</w:t>
      </w:r>
    </w:p>
    <w:p w14:paraId="03227241">
      <w:pPr>
        <w:spacing w:before="288" w:beforeLines="120" w:after="288" w:afterLines="120" w:line="288" w:lineRule="auto"/>
        <w:rPr>
          <w:sz w:val="24"/>
          <w:szCs w:val="24"/>
        </w:rPr>
      </w:pPr>
      <w:r>
        <w:rPr>
          <w:b/>
          <w:sz w:val="24"/>
          <w:szCs w:val="24"/>
        </w:rPr>
        <w:t>1.6.2</w:t>
      </w:r>
      <w:r>
        <w:rPr>
          <w:sz w:val="24"/>
          <w:szCs w:val="24"/>
        </w:rPr>
        <w:t>. seja comprovado que o valor do contrato permanece economicamente vantajoso para a Administração;</w:t>
      </w:r>
    </w:p>
    <w:p w14:paraId="58C7382E">
      <w:pPr>
        <w:spacing w:before="288" w:beforeLines="120" w:after="288" w:afterLines="120" w:line="288" w:lineRule="auto"/>
        <w:rPr>
          <w:sz w:val="24"/>
          <w:szCs w:val="24"/>
        </w:rPr>
      </w:pPr>
      <w:r>
        <w:rPr>
          <w:b/>
          <w:sz w:val="24"/>
          <w:szCs w:val="24"/>
        </w:rPr>
        <w:t>1.6.3.</w:t>
      </w:r>
      <w:r>
        <w:rPr>
          <w:sz w:val="24"/>
          <w:szCs w:val="24"/>
        </w:rPr>
        <w:t xml:space="preserve"> seja comprovado que o contrato mantém as condições iniciais de habilitação.</w:t>
      </w:r>
    </w:p>
    <w:p w14:paraId="7D2AD8A7">
      <w:pPr>
        <w:spacing w:before="288" w:beforeLines="120" w:after="288" w:afterLines="120" w:line="288" w:lineRule="auto"/>
        <w:rPr>
          <w:sz w:val="24"/>
          <w:szCs w:val="24"/>
        </w:rPr>
      </w:pPr>
      <w:r>
        <w:rPr>
          <w:b/>
          <w:sz w:val="24"/>
          <w:szCs w:val="24"/>
        </w:rPr>
        <w:t>1.7.</w:t>
      </w:r>
      <w:r>
        <w:rPr>
          <w:sz w:val="24"/>
          <w:szCs w:val="24"/>
        </w:rPr>
        <w:t xml:space="preserve"> O contrato oferece maior detalhamento das regras que serão aplicadas em relação à vigência da contratação.</w:t>
      </w:r>
    </w:p>
    <w:p w14:paraId="79D4B67D">
      <w:pPr>
        <w:spacing w:before="288" w:beforeLines="120" w:after="288" w:afterLines="120" w:line="288" w:lineRule="auto"/>
        <w:rPr>
          <w:b/>
          <w:sz w:val="24"/>
          <w:szCs w:val="24"/>
        </w:rPr>
      </w:pPr>
      <w:r>
        <w:rPr>
          <w:b/>
          <w:sz w:val="24"/>
          <w:szCs w:val="24"/>
        </w:rPr>
        <w:t>2. FUNDAMENTAÇÃO E DESCRIÇÃO DA NECESSIDADE DA CONTRATAÇÃO (art. 6º, inc. XXIII, alínea “b” da Lei n.º 14.133/2021).</w:t>
      </w:r>
    </w:p>
    <w:p w14:paraId="1A318B72">
      <w:pPr>
        <w:spacing w:before="288" w:beforeLines="120" w:after="288" w:afterLines="120" w:line="288" w:lineRule="auto"/>
        <w:rPr>
          <w:sz w:val="24"/>
          <w:szCs w:val="24"/>
        </w:rPr>
      </w:pPr>
      <w:r>
        <w:rPr>
          <w:b/>
          <w:sz w:val="24"/>
          <w:szCs w:val="24"/>
        </w:rPr>
        <w:t>2.1 -</w:t>
      </w:r>
      <w:r>
        <w:rPr>
          <w:sz w:val="24"/>
          <w:szCs w:val="24"/>
        </w:rPr>
        <w:t xml:space="preserve"> A presente aquisição se fundamenta na identificação da necessidade da disponibilização contínua de veículos à Secretaria Municipal de Saúde.</w:t>
      </w:r>
    </w:p>
    <w:p w14:paraId="571B3238">
      <w:pPr>
        <w:spacing w:before="288" w:beforeLines="120" w:after="288" w:afterLines="120" w:line="288" w:lineRule="auto"/>
        <w:rPr>
          <w:sz w:val="24"/>
          <w:szCs w:val="24"/>
        </w:rPr>
      </w:pPr>
      <w:r>
        <w:rPr>
          <w:b/>
          <w:sz w:val="24"/>
          <w:szCs w:val="24"/>
        </w:rPr>
        <w:t>2.2 -</w:t>
      </w:r>
      <w:r>
        <w:rPr>
          <w:sz w:val="24"/>
          <w:szCs w:val="24"/>
        </w:rPr>
        <w:t xml:space="preserve"> A Secretaria Municipal de Saúde. Haja vista que o Município de Valença possui cinco distritos mais a sede, ser o segundo maior em extensão territorial do estado e possuir grande quilometragem de estradas vicinais, é imprescindível adequado meio de locomoção para que o serviço seja realizado com êxito. Apesar de a Secretaria já possuir automóvel, alta quilometragem rodada, o que gera grandes custos com manutenção e indisponibilidade do mesmo durante os reparos. Logo é necessária aquisição de automóvel que se adeque as rotinas da Secretaria.</w:t>
      </w:r>
    </w:p>
    <w:p w14:paraId="6E36E909">
      <w:pPr>
        <w:spacing w:before="288" w:beforeLines="120" w:after="288" w:afterLines="120" w:line="288" w:lineRule="auto"/>
        <w:rPr>
          <w:sz w:val="24"/>
          <w:szCs w:val="24"/>
        </w:rPr>
      </w:pPr>
      <w:r>
        <w:rPr>
          <w:b/>
          <w:sz w:val="24"/>
          <w:szCs w:val="24"/>
        </w:rPr>
        <w:t>2.3 -</w:t>
      </w:r>
      <w:r>
        <w:rPr>
          <w:sz w:val="24"/>
          <w:szCs w:val="24"/>
        </w:rPr>
        <w:t xml:space="preserve"> A aquisição do veículo além de renovar a frota da Secretaria, irá reduzir a manutenção e aquisição de peças, além de evitar com que os agentes fiquem parados com eventuais falhas do veículo antigo, assim maximizando os serviços.</w:t>
      </w:r>
    </w:p>
    <w:p w14:paraId="4BE083BF">
      <w:pPr>
        <w:spacing w:before="288" w:beforeLines="120" w:after="288" w:afterLines="120" w:line="288" w:lineRule="auto"/>
        <w:rPr>
          <w:sz w:val="24"/>
          <w:szCs w:val="24"/>
        </w:rPr>
      </w:pPr>
      <w:r>
        <w:rPr>
          <w:b/>
          <w:sz w:val="24"/>
          <w:szCs w:val="24"/>
        </w:rPr>
        <w:t>2.4 -</w:t>
      </w:r>
      <w:r>
        <w:rPr>
          <w:sz w:val="24"/>
          <w:szCs w:val="24"/>
        </w:rPr>
        <w:t xml:space="preserve"> A aquisição de veículos visa fornecer suporte aos trabalhos decorrentes das atividades meio e fim da Secretaria Municipal de Saúde de forma a possibilitar o cumprimento ágil e eficiente dos trabalhos desenvolvidos, a fim de que toda a população possa estar assistida e a Prefeitura logre êxito no âmbito da secretaria Municipal de Saúde.</w:t>
      </w:r>
    </w:p>
    <w:p w14:paraId="1136ACDE">
      <w:pPr>
        <w:spacing w:before="288" w:beforeLines="120" w:after="288" w:afterLines="120" w:line="288" w:lineRule="auto"/>
        <w:rPr>
          <w:sz w:val="24"/>
          <w:szCs w:val="24"/>
        </w:rPr>
      </w:pPr>
      <w:r>
        <w:rPr>
          <w:b/>
          <w:sz w:val="24"/>
          <w:szCs w:val="24"/>
        </w:rPr>
        <w:t>2.5 -</w:t>
      </w:r>
      <w:r>
        <w:rPr>
          <w:sz w:val="24"/>
          <w:szCs w:val="24"/>
        </w:rPr>
        <w:t xml:space="preserve"> Como exposto, a aquisição do objeto em questão é indispensável, tendo em vista que os veículos visam atender, da forma ante especificada, tanto as atividades meio e fim da Secretaria Municipal de Saúde de Valença/RJ.</w:t>
      </w:r>
    </w:p>
    <w:p w14:paraId="78B31F94">
      <w:pPr>
        <w:spacing w:before="288" w:beforeLines="120" w:after="288" w:afterLines="120" w:line="288" w:lineRule="auto"/>
        <w:rPr>
          <w:b/>
          <w:sz w:val="24"/>
          <w:szCs w:val="24"/>
        </w:rPr>
      </w:pPr>
      <w:r>
        <w:rPr>
          <w:b/>
          <w:sz w:val="24"/>
          <w:szCs w:val="24"/>
        </w:rPr>
        <w:t>3. DESCRIÇÃO DA SOLUÇÃO COMO UM TODO (art. 6º, inciso XXIII, alínea ‘c’, e art. 40, §1º, inciso I, da Lei nº 14.133/2021)</w:t>
      </w:r>
    </w:p>
    <w:p w14:paraId="34069406">
      <w:pPr>
        <w:spacing w:before="288" w:beforeLines="120" w:after="288" w:afterLines="120" w:line="288" w:lineRule="auto"/>
        <w:rPr>
          <w:sz w:val="24"/>
          <w:szCs w:val="24"/>
        </w:rPr>
      </w:pPr>
      <w:r>
        <w:rPr>
          <w:b/>
          <w:sz w:val="24"/>
          <w:szCs w:val="24"/>
        </w:rPr>
        <w:t xml:space="preserve">3.1 - </w:t>
      </w:r>
      <w:r>
        <w:rPr>
          <w:sz w:val="24"/>
          <w:szCs w:val="24"/>
        </w:rPr>
        <w:t>O art. 6º, XXIII, “c” da Lei n.º 14.133/21 dispõe que para descrever a solução como um todo deve ser considerado todo o ciclo de vida do objeto. Define-se como ciclo de vida as etapas que envolvem o desenvolvimento do produto, a obtenção de matérias-primas e insumos, o processo produtivo, o consumo e a disposição final. Desse modo, não se deve analisar somente as características intrínsecas ao uso em si, mas também eventual sustentabilidade em sua produção, duração de seu consumo até a destinação final do objeto;</w:t>
      </w:r>
    </w:p>
    <w:p w14:paraId="1AECBCE9">
      <w:pPr>
        <w:spacing w:before="288" w:beforeLines="120" w:after="288" w:afterLines="120" w:line="288" w:lineRule="auto"/>
        <w:rPr>
          <w:sz w:val="24"/>
          <w:szCs w:val="24"/>
        </w:rPr>
      </w:pPr>
      <w:r>
        <w:rPr>
          <w:b/>
          <w:sz w:val="24"/>
          <w:szCs w:val="24"/>
        </w:rPr>
        <w:t>3.2 -</w:t>
      </w:r>
      <w:r>
        <w:rPr>
          <w:sz w:val="24"/>
          <w:szCs w:val="24"/>
        </w:rPr>
        <w:t xml:space="preserve"> Após avaliação do objeto e das soluções existentes no mercado, restou demostrado que a aquisição dos veículos, objeto da presente contratação, é uma solução adequada para suprir a necessidade demonstrada no item 2 do presente Termo de Referência.</w:t>
      </w:r>
    </w:p>
    <w:p w14:paraId="334CC4F2">
      <w:pPr>
        <w:spacing w:before="288" w:beforeLines="120" w:after="288" w:afterLines="120" w:line="288" w:lineRule="auto"/>
        <w:rPr>
          <w:sz w:val="24"/>
          <w:szCs w:val="24"/>
        </w:rPr>
      </w:pPr>
      <w:r>
        <w:rPr>
          <w:b/>
          <w:sz w:val="24"/>
          <w:szCs w:val="24"/>
        </w:rPr>
        <w:t>3.3 -</w:t>
      </w:r>
      <w:r>
        <w:rPr>
          <w:sz w:val="24"/>
          <w:szCs w:val="24"/>
        </w:rPr>
        <w:t xml:space="preserve"> O fornecimento dos veículos será parcelado, conforme a necessidade, visando minimizar os custos desnecessários, bem como garantir que o Fundo Municipal tenha a discricionariedade de agir conforme suas necessidades, podendo flexibilizar suas despesas, com a devida adequação aos recursos disponíveis, na forma autorizada pelo art. 40, inciso V, alínea b, da Lei nº 14.133, de 2021;</w:t>
      </w:r>
    </w:p>
    <w:p w14:paraId="42A8428D">
      <w:pPr>
        <w:spacing w:before="288" w:beforeLines="120" w:after="288" w:afterLines="120" w:line="288" w:lineRule="auto"/>
        <w:rPr>
          <w:sz w:val="24"/>
          <w:szCs w:val="24"/>
        </w:rPr>
      </w:pPr>
      <w:r>
        <w:rPr>
          <w:b/>
          <w:sz w:val="24"/>
          <w:szCs w:val="24"/>
        </w:rPr>
        <w:t>3.4 -</w:t>
      </w:r>
      <w:r>
        <w:rPr>
          <w:sz w:val="24"/>
          <w:szCs w:val="24"/>
        </w:rPr>
        <w:t xml:space="preserve"> Ademais, é de esclarecer que a quantidade de automóveis constante da tabela inserta no subitem 1.1 do presente Termo de referência, representada a necessidade inicial identificada pela Secretaria requisitante;</w:t>
      </w:r>
    </w:p>
    <w:p w14:paraId="16FB6BD9">
      <w:pPr>
        <w:spacing w:before="288" w:beforeLines="120" w:after="288" w:afterLines="120" w:line="288" w:lineRule="auto"/>
        <w:rPr>
          <w:sz w:val="24"/>
          <w:szCs w:val="24"/>
        </w:rPr>
      </w:pPr>
      <w:r>
        <w:rPr>
          <w:b/>
          <w:sz w:val="24"/>
          <w:szCs w:val="24"/>
        </w:rPr>
        <w:t>3.5 -</w:t>
      </w:r>
      <w:r>
        <w:rPr>
          <w:sz w:val="24"/>
          <w:szCs w:val="24"/>
        </w:rPr>
        <w:t xml:space="preserve"> Os critérios de sustentabilidade – melhor especificados nos subitens 4.2 do presente Termo de Referência – devem abranger cada fase do ciclo de vida do objeto quais sejam: produção (extração, qualidade, embalagem), distribuição, uso e destinação final, na forma prevista no art. 6º, XXIII, “c” da Lei n.º 14.133/21.</w:t>
      </w:r>
    </w:p>
    <w:p w14:paraId="23D8C0D3">
      <w:pPr>
        <w:spacing w:before="288" w:beforeLines="120" w:after="288" w:afterLines="120" w:line="288" w:lineRule="auto"/>
        <w:rPr>
          <w:b/>
          <w:sz w:val="24"/>
          <w:szCs w:val="24"/>
        </w:rPr>
      </w:pPr>
      <w:r>
        <w:rPr>
          <w:b/>
          <w:sz w:val="24"/>
          <w:szCs w:val="24"/>
        </w:rPr>
        <w:t>4. REQUISITOS DA CONTRATAÇÃO (art. 6º, XXIII, alínea ‘d’, da Lei nº 14.133/21)</w:t>
      </w:r>
    </w:p>
    <w:p w14:paraId="1214CFA0">
      <w:pPr>
        <w:spacing w:before="288" w:beforeLines="120" w:after="288" w:afterLines="120" w:line="288" w:lineRule="auto"/>
        <w:rPr>
          <w:b/>
          <w:sz w:val="24"/>
          <w:szCs w:val="24"/>
        </w:rPr>
      </w:pPr>
      <w:r>
        <w:rPr>
          <w:b/>
          <w:sz w:val="24"/>
          <w:szCs w:val="24"/>
        </w:rPr>
        <w:t xml:space="preserve">4.1 </w:t>
      </w:r>
      <w:r>
        <w:rPr>
          <w:sz w:val="24"/>
          <w:szCs w:val="24"/>
        </w:rPr>
        <w:t>- A contratação deverá observar os seguintes requisitos:</w:t>
      </w:r>
    </w:p>
    <w:p w14:paraId="436DECAA">
      <w:pPr>
        <w:spacing w:before="288" w:beforeLines="120" w:after="288" w:afterLines="120" w:line="288" w:lineRule="auto"/>
        <w:rPr>
          <w:b/>
          <w:sz w:val="24"/>
          <w:szCs w:val="24"/>
        </w:rPr>
      </w:pPr>
      <w:r>
        <w:rPr>
          <w:b/>
          <w:sz w:val="24"/>
          <w:szCs w:val="24"/>
        </w:rPr>
        <w:t>Da Sustentabilidade</w:t>
      </w:r>
    </w:p>
    <w:p w14:paraId="5DB8516F">
      <w:pPr>
        <w:spacing w:before="288" w:beforeLines="120" w:after="288" w:afterLines="120" w:line="288" w:lineRule="auto"/>
        <w:rPr>
          <w:sz w:val="24"/>
          <w:szCs w:val="24"/>
        </w:rPr>
      </w:pPr>
      <w:r>
        <w:rPr>
          <w:b/>
          <w:sz w:val="24"/>
          <w:szCs w:val="24"/>
        </w:rPr>
        <w:t xml:space="preserve">4.2 - </w:t>
      </w:r>
      <w:r>
        <w:rPr>
          <w:sz w:val="24"/>
          <w:szCs w:val="24"/>
        </w:rPr>
        <w:t>Além dos critérios de sustentabilidade eventualmente mencionados ao longo deste Termo</w:t>
      </w:r>
      <w:r>
        <w:rPr>
          <w:b/>
          <w:sz w:val="24"/>
          <w:szCs w:val="24"/>
        </w:rPr>
        <w:t xml:space="preserve"> </w:t>
      </w:r>
      <w:r>
        <w:rPr>
          <w:sz w:val="24"/>
          <w:szCs w:val="24"/>
        </w:rPr>
        <w:t>de Referência, os veículos automotores ofertados pela Contratada devem obedecer aos seguintes requisitos, que se baseiam no Guia Nacional de Contratações Sustentáveis da Advocacia Geral da União1:</w:t>
      </w:r>
    </w:p>
    <w:p w14:paraId="126DF9D2">
      <w:pPr>
        <w:spacing w:before="288" w:beforeLines="120" w:after="288" w:afterLines="120" w:line="288" w:lineRule="auto"/>
        <w:rPr>
          <w:b/>
          <w:sz w:val="24"/>
          <w:szCs w:val="24"/>
        </w:rPr>
      </w:pPr>
      <w:r>
        <w:rPr>
          <w:b/>
          <w:sz w:val="24"/>
          <w:szCs w:val="24"/>
        </w:rPr>
        <w:t xml:space="preserve">4.2.1. </w:t>
      </w:r>
      <w:r>
        <w:rPr>
          <w:sz w:val="24"/>
          <w:szCs w:val="24"/>
        </w:rPr>
        <w:t>Atender ao limite máximo de ruídos fixados nas CONAMA n.º 01, de 11/02/1993 e n.º 272, de 14/09/2000 e as legislação supervenientes e correlata;</w:t>
      </w:r>
    </w:p>
    <w:p w14:paraId="35B4A9E1">
      <w:pPr>
        <w:spacing w:before="288" w:beforeLines="120" w:after="288" w:afterLines="120" w:line="288" w:lineRule="auto"/>
        <w:rPr>
          <w:sz w:val="24"/>
          <w:szCs w:val="24"/>
        </w:rPr>
      </w:pPr>
      <w:r>
        <w:rPr>
          <w:b/>
          <w:sz w:val="24"/>
          <w:szCs w:val="24"/>
        </w:rPr>
        <w:t xml:space="preserve">4.2.2. </w:t>
      </w:r>
      <w:r>
        <w:rPr>
          <w:sz w:val="24"/>
          <w:szCs w:val="24"/>
        </w:rPr>
        <w:t>Atender aos limites máximos de emissão de poluentes que estejam em conformidade com Programa de Controle de Poluição do Ar por Veículos Automotores – PROCONVE, conforme Resolução CONAMA nº 18, de 06/05/1986, n.º 315, de 29/10/2002, n.º 490, de 16 de novembro de 2018 e n.º 492, de 20 de dezembro de 2018, preferencialmente dotados de tecnologia que facilite a diminuição da emissão de gases e/ou substâncias poluentes;</w:t>
      </w:r>
    </w:p>
    <w:p w14:paraId="6331944B">
      <w:pPr>
        <w:spacing w:before="288" w:beforeLines="120" w:after="288" w:afterLines="120" w:line="288" w:lineRule="auto"/>
        <w:rPr>
          <w:b/>
          <w:sz w:val="24"/>
          <w:szCs w:val="24"/>
        </w:rPr>
      </w:pPr>
      <w:r>
        <w:rPr>
          <w:b/>
          <w:sz w:val="24"/>
          <w:szCs w:val="24"/>
        </w:rPr>
        <w:t>Da vedação de utilização de marca/produto na execução do serviço</w:t>
      </w:r>
    </w:p>
    <w:p w14:paraId="61CD095F">
      <w:pPr>
        <w:spacing w:before="288" w:beforeLines="120" w:after="288" w:afterLines="120" w:line="288" w:lineRule="auto"/>
        <w:rPr>
          <w:sz w:val="24"/>
          <w:szCs w:val="24"/>
        </w:rPr>
      </w:pPr>
      <w:r>
        <w:rPr>
          <w:b/>
          <w:sz w:val="24"/>
          <w:szCs w:val="24"/>
        </w:rPr>
        <w:t xml:space="preserve">4.3 - </w:t>
      </w:r>
      <w:r>
        <w:rPr>
          <w:sz w:val="24"/>
          <w:szCs w:val="24"/>
        </w:rPr>
        <w:t>Salienta-se que as especificações dos itens, objeto deste Termo de Referência, são suficientes à escolha do futuro contratado, certificando, ainda, que não há determinação de marca, nem tão pouco importam em cerceamento da competitividade do certame.</w:t>
      </w:r>
    </w:p>
    <w:p w14:paraId="1E13B52D">
      <w:pPr>
        <w:spacing w:before="288" w:beforeLines="120" w:after="288" w:afterLines="120" w:line="288" w:lineRule="auto"/>
        <w:rPr>
          <w:b/>
          <w:sz w:val="24"/>
          <w:szCs w:val="24"/>
        </w:rPr>
      </w:pPr>
      <w:r>
        <w:rPr>
          <w:b/>
          <w:sz w:val="24"/>
          <w:szCs w:val="24"/>
        </w:rPr>
        <w:t>Da Garantia da Execução</w:t>
      </w:r>
    </w:p>
    <w:p w14:paraId="3070CEFB">
      <w:pPr>
        <w:spacing w:before="288" w:beforeLines="120" w:after="288" w:afterLines="120" w:line="288" w:lineRule="auto"/>
        <w:rPr>
          <w:sz w:val="24"/>
          <w:szCs w:val="24"/>
        </w:rPr>
      </w:pPr>
      <w:r>
        <w:rPr>
          <w:b/>
          <w:sz w:val="24"/>
          <w:szCs w:val="24"/>
        </w:rPr>
        <w:t xml:space="preserve">4.4 - </w:t>
      </w:r>
      <w:r>
        <w:rPr>
          <w:sz w:val="24"/>
          <w:szCs w:val="24"/>
        </w:rPr>
        <w:t>Será exigida a garantia da contratação de que tratam os artigos 96 e seguintes da Lei n.º 14.133 de 2021, no percentual de 1% (um por cento) do valor inicial do contrato, conforme regras previstas no instrumento contratual.</w:t>
      </w:r>
    </w:p>
    <w:p w14:paraId="221F2E55">
      <w:pPr>
        <w:spacing w:before="288" w:beforeLines="120" w:after="288" w:afterLines="120" w:line="288" w:lineRule="auto"/>
        <w:rPr>
          <w:sz w:val="24"/>
          <w:szCs w:val="24"/>
        </w:rPr>
      </w:pPr>
      <w:r>
        <w:rPr>
          <w:b/>
          <w:sz w:val="24"/>
          <w:szCs w:val="24"/>
        </w:rPr>
        <w:t xml:space="preserve">4.4.1. </w:t>
      </w:r>
      <w:r>
        <w:rPr>
          <w:sz w:val="24"/>
          <w:szCs w:val="24"/>
        </w:rPr>
        <w:t>A garantia nas modalidades caução e fiança bancária deverá ser prestada em até 10 (dez) dias úteis após a assinatura do contrato.</w:t>
      </w:r>
    </w:p>
    <w:p w14:paraId="41FF6AE6">
      <w:pPr>
        <w:spacing w:before="288" w:beforeLines="120" w:after="288" w:afterLines="120" w:line="288" w:lineRule="auto"/>
        <w:rPr>
          <w:sz w:val="24"/>
          <w:szCs w:val="24"/>
        </w:rPr>
      </w:pPr>
      <w:r>
        <w:rPr>
          <w:b/>
          <w:sz w:val="24"/>
          <w:szCs w:val="24"/>
        </w:rPr>
        <w:t>4.4.2</w:t>
      </w:r>
      <w:r>
        <w:rPr>
          <w:sz w:val="24"/>
          <w:szCs w:val="24"/>
        </w:rPr>
        <w:t>. No caso de seguro-garantia sua apresentação deverá ocorrer, no máximo, até a data de assinatura do contrato e deverá ter validade de até 90 (noventa) dias úteis após o termino da vigência contratual, permanecendo em vigor mesmo que a Contratada não pague o prêmio nas datas convencionadas.</w:t>
      </w:r>
    </w:p>
    <w:p w14:paraId="1107C934">
      <w:pPr>
        <w:spacing w:before="288" w:beforeLines="120" w:after="288" w:afterLines="120" w:line="288" w:lineRule="auto"/>
        <w:rPr>
          <w:sz w:val="24"/>
          <w:szCs w:val="24"/>
        </w:rPr>
      </w:pPr>
      <w:r>
        <w:rPr>
          <w:b/>
          <w:sz w:val="24"/>
          <w:szCs w:val="24"/>
        </w:rPr>
        <w:t>4.4.3.</w:t>
      </w:r>
      <w:r>
        <w:rPr>
          <w:sz w:val="24"/>
          <w:szCs w:val="24"/>
        </w:rPr>
        <w:t xml:space="preserve"> No caso de alteração do valor do contrato ou prorrogação de sua vigência, a garantia deverá ser ajustada ou renovada, seguindo os mesmos parâmetros utilizados quando da contratação.</w:t>
      </w:r>
    </w:p>
    <w:p w14:paraId="7B54C8B3">
      <w:pPr>
        <w:spacing w:before="288" w:beforeLines="120" w:after="288" w:afterLines="120" w:line="288" w:lineRule="auto"/>
        <w:rPr>
          <w:sz w:val="24"/>
          <w:szCs w:val="24"/>
        </w:rPr>
      </w:pPr>
      <w:r>
        <w:rPr>
          <w:b/>
          <w:sz w:val="24"/>
          <w:szCs w:val="24"/>
        </w:rPr>
        <w:t>4.4.4.</w:t>
      </w:r>
      <w:r>
        <w:rPr>
          <w:sz w:val="24"/>
          <w:szCs w:val="24"/>
        </w:rPr>
        <w:t xml:space="preserve"> Se o valor da garantia for utilizado total ou parcialmente em pagamento de qualquer obrigação, a Contratada deverá providenciar a sua reposição, no prazo máximo de 10 (dez) dias úteis, a contar da data em que for notificada para tal fim.</w:t>
      </w:r>
    </w:p>
    <w:p w14:paraId="29266096">
      <w:pPr>
        <w:spacing w:before="288" w:beforeLines="120" w:after="288" w:afterLines="120" w:line="288" w:lineRule="auto"/>
        <w:rPr>
          <w:sz w:val="24"/>
          <w:szCs w:val="24"/>
        </w:rPr>
      </w:pPr>
      <w:r>
        <w:rPr>
          <w:b/>
          <w:sz w:val="24"/>
          <w:szCs w:val="24"/>
        </w:rPr>
        <w:t>4.4.5</w:t>
      </w:r>
      <w:r>
        <w:rPr>
          <w:sz w:val="24"/>
          <w:szCs w:val="24"/>
        </w:rPr>
        <w:t>. O contrato oferece maior detalhamento das regras que serão aplicadas em relação à garantia da contratação.</w:t>
      </w:r>
    </w:p>
    <w:p w14:paraId="1377BDB9">
      <w:pPr>
        <w:spacing w:before="288" w:beforeLines="120" w:after="288" w:afterLines="120" w:line="288" w:lineRule="auto"/>
        <w:rPr>
          <w:b/>
          <w:sz w:val="24"/>
          <w:szCs w:val="24"/>
        </w:rPr>
      </w:pPr>
      <w:r>
        <w:rPr>
          <w:b/>
          <w:sz w:val="24"/>
          <w:szCs w:val="24"/>
        </w:rPr>
        <w:t>Condições Gerais</w:t>
      </w:r>
    </w:p>
    <w:p w14:paraId="73B6256A">
      <w:pPr>
        <w:spacing w:before="288" w:beforeLines="120" w:after="288" w:afterLines="120" w:line="288" w:lineRule="auto"/>
        <w:rPr>
          <w:b/>
          <w:sz w:val="24"/>
          <w:szCs w:val="24"/>
        </w:rPr>
      </w:pPr>
      <w:r>
        <w:rPr>
          <w:b/>
          <w:sz w:val="24"/>
          <w:szCs w:val="24"/>
        </w:rPr>
        <w:t>DO PRAZO E DAS CONDIÇÕES DE ENTREGA:</w:t>
      </w:r>
    </w:p>
    <w:p w14:paraId="15D337C1">
      <w:pPr>
        <w:spacing w:before="288" w:beforeLines="120" w:after="288" w:afterLines="120" w:line="288" w:lineRule="auto"/>
        <w:rPr>
          <w:sz w:val="24"/>
          <w:szCs w:val="24"/>
        </w:rPr>
      </w:pPr>
      <w:r>
        <w:rPr>
          <w:sz w:val="24"/>
          <w:szCs w:val="24"/>
        </w:rPr>
        <w:t>A entrega deverá ser realizada no prazo máximo de 120 (cento e vinte) dias corridos, a partir do recebimento da Nota de Empenho e assinatura do Contrato, por conta e risco do adjudicatário, sem nenhum ônus para a municipalidade, correndo por conta exclusiva da licitante os custos de transporte, frete, carregamento e descarregamento na forma necessária. Todas as despesas de transporte, tributos, frete, carregamento, descarregamento, encargos trabalhistas e previdenciários e outros custos decorrentes direta e indiretamente do fornecimento do objeto desta licitação, correrão por conta exclusiva da contratada.</w:t>
      </w:r>
    </w:p>
    <w:p w14:paraId="78061A2E">
      <w:pPr>
        <w:spacing w:before="288" w:beforeLines="120" w:after="288" w:afterLines="120" w:line="288" w:lineRule="auto"/>
        <w:rPr>
          <w:b/>
          <w:sz w:val="24"/>
          <w:szCs w:val="24"/>
        </w:rPr>
      </w:pPr>
      <w:r>
        <w:rPr>
          <w:b/>
          <w:sz w:val="24"/>
          <w:szCs w:val="24"/>
        </w:rPr>
        <w:t>DO LOCAL DE ENTREGA:</w:t>
      </w:r>
    </w:p>
    <w:p w14:paraId="1D379A53">
      <w:pPr>
        <w:spacing w:before="288" w:beforeLines="120" w:after="288" w:afterLines="120" w:line="288" w:lineRule="auto"/>
        <w:rPr>
          <w:sz w:val="24"/>
          <w:szCs w:val="24"/>
        </w:rPr>
      </w:pPr>
      <w:r>
        <w:rPr>
          <w:sz w:val="24"/>
          <w:szCs w:val="24"/>
        </w:rPr>
        <w:t>Os veículos, objeto da presente licitação, deverá ser entregue na sede da Prefeitura Municipal de Valença, a Rua Dr. Figueiredo nº 320, Centro, Valença RJ, CEP nº 27.600-000.</w:t>
      </w:r>
    </w:p>
    <w:p w14:paraId="4904C9A8">
      <w:pPr>
        <w:spacing w:before="288" w:beforeLines="120" w:after="288" w:afterLines="120" w:line="288" w:lineRule="auto"/>
        <w:rPr>
          <w:b/>
          <w:sz w:val="24"/>
          <w:szCs w:val="24"/>
        </w:rPr>
      </w:pPr>
      <w:r>
        <w:rPr>
          <w:b/>
          <w:sz w:val="24"/>
          <w:szCs w:val="24"/>
        </w:rPr>
        <w:t>DA GARANTIA:</w:t>
      </w:r>
    </w:p>
    <w:p w14:paraId="71A75491">
      <w:pPr>
        <w:spacing w:before="288" w:beforeLines="120" w:after="288" w:afterLines="120" w:line="288" w:lineRule="auto"/>
        <w:rPr>
          <w:sz w:val="24"/>
          <w:szCs w:val="24"/>
        </w:rPr>
      </w:pPr>
      <w:r>
        <w:rPr>
          <w:sz w:val="24"/>
          <w:szCs w:val="24"/>
        </w:rPr>
        <w:t>O licitante deverá indicar em sua proposta o prazo de garantia dos veículos, que deverá ser igual ou superior ao estabelecido pela empresa fabricante.</w:t>
      </w:r>
    </w:p>
    <w:p w14:paraId="490FDE01">
      <w:pPr>
        <w:spacing w:before="288" w:beforeLines="120" w:after="288" w:afterLines="120" w:line="288" w:lineRule="auto"/>
        <w:rPr>
          <w:sz w:val="24"/>
          <w:szCs w:val="24"/>
        </w:rPr>
      </w:pPr>
      <w:r>
        <w:rPr>
          <w:sz w:val="24"/>
          <w:szCs w:val="24"/>
        </w:rPr>
        <w:t>A assistência técnica durante o prazo de garantia deverá ser prestada por Concessionária na Região Sul Fluminense.</w:t>
      </w:r>
    </w:p>
    <w:p w14:paraId="437AEE7E">
      <w:pPr>
        <w:spacing w:before="288" w:beforeLines="120" w:after="288" w:afterLines="120" w:line="288" w:lineRule="auto"/>
        <w:rPr>
          <w:b/>
          <w:sz w:val="24"/>
          <w:szCs w:val="24"/>
        </w:rPr>
      </w:pPr>
      <w:r>
        <w:rPr>
          <w:b/>
          <w:sz w:val="24"/>
          <w:szCs w:val="24"/>
        </w:rPr>
        <w:t>DAS ALTERAÇÕES DESTE TERMO DE REFERÊNCIA:</w:t>
      </w:r>
    </w:p>
    <w:p w14:paraId="2A148777">
      <w:pPr>
        <w:spacing w:before="288" w:beforeLines="120" w:after="288" w:afterLines="120" w:line="288" w:lineRule="auto"/>
        <w:rPr>
          <w:sz w:val="24"/>
          <w:szCs w:val="24"/>
        </w:rPr>
      </w:pPr>
      <w:r>
        <w:rPr>
          <w:sz w:val="24"/>
          <w:szCs w:val="24"/>
        </w:rPr>
        <w:t>Este Termo de Referência poderá sofrer alterações até a data de divulgação ou publicação do instrumento convocatório, a fim de fornecer corretamente os dados para a apresentação da proposta comercial, bem como, para se adequar às condições estabelecidas pela legislação vigente.</w:t>
      </w:r>
    </w:p>
    <w:p w14:paraId="6DEF7699">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27AA49AC">
      <w:pPr>
        <w:spacing w:before="288" w:beforeLines="120" w:after="288" w:afterLines="120" w:line="288" w:lineRule="auto"/>
        <w:rPr>
          <w:sz w:val="24"/>
          <w:szCs w:val="24"/>
        </w:rPr>
      </w:pPr>
      <w:r>
        <w:rPr>
          <w:sz w:val="24"/>
          <w:szCs w:val="24"/>
        </w:rPr>
        <w:t>Havendo lance e/ou negociação, a empresa adjudicatária do item deverá encaminhar proposta de preços realinhada, observando o disposto.</w:t>
      </w:r>
    </w:p>
    <w:p w14:paraId="0204FE31">
      <w:pPr>
        <w:spacing w:before="288" w:beforeLines="120" w:after="288" w:afterLines="120" w:line="288" w:lineRule="auto"/>
        <w:rPr>
          <w:b/>
          <w:sz w:val="24"/>
          <w:szCs w:val="24"/>
        </w:rPr>
      </w:pPr>
      <w:r>
        <w:rPr>
          <w:b/>
          <w:sz w:val="24"/>
          <w:szCs w:val="24"/>
        </w:rPr>
        <w:t>5. MODELO DE EXECUÇÃO DO OBJETO</w:t>
      </w:r>
    </w:p>
    <w:p w14:paraId="149849B6">
      <w:pPr>
        <w:spacing w:before="288" w:beforeLines="120" w:after="288" w:afterLines="120" w:line="288" w:lineRule="auto"/>
        <w:rPr>
          <w:b/>
          <w:sz w:val="24"/>
          <w:szCs w:val="24"/>
        </w:rPr>
      </w:pPr>
      <w:r>
        <w:rPr>
          <w:b/>
          <w:sz w:val="24"/>
          <w:szCs w:val="24"/>
        </w:rPr>
        <w:t>Condições de execução</w:t>
      </w:r>
    </w:p>
    <w:p w14:paraId="30E9593D">
      <w:pPr>
        <w:spacing w:before="288" w:beforeLines="120" w:after="288" w:afterLines="120" w:line="288" w:lineRule="auto"/>
        <w:rPr>
          <w:sz w:val="24"/>
          <w:szCs w:val="24"/>
        </w:rPr>
      </w:pPr>
      <w:r>
        <w:rPr>
          <w:b/>
          <w:sz w:val="24"/>
          <w:szCs w:val="24"/>
        </w:rPr>
        <w:t>5.1 -</w:t>
      </w:r>
      <w:r>
        <w:rPr>
          <w:sz w:val="24"/>
          <w:szCs w:val="24"/>
        </w:rPr>
        <w:t xml:space="preserve"> A execução do objeto seguirá a seguinte dinâmica:</w:t>
      </w:r>
    </w:p>
    <w:p w14:paraId="20337048">
      <w:pPr>
        <w:spacing w:before="288" w:beforeLines="120" w:after="288" w:afterLines="120" w:line="288" w:lineRule="auto"/>
        <w:rPr>
          <w:sz w:val="24"/>
          <w:szCs w:val="24"/>
        </w:rPr>
      </w:pPr>
      <w:r>
        <w:rPr>
          <w:sz w:val="24"/>
          <w:szCs w:val="24"/>
        </w:rPr>
        <w:t>A entrega deverá ser realizada no prazo máximo de 120 (cento e vinte) dias corridos, a partir do recebimento da Nota de Empenho e assinatura do Contrato, por conta e risco do adjudicatário, sem nenhum ônus para a municipalidade, correndo por conta exclusiva da licitante os custos de transporte, frete, carregamento e descarregamento na forma necessária. Todas as despesas de transporte, tributos, frete, carregamento, descarregamento, encargos trabalhistas e previdenciários e outros custos decorrentes direta e indiretamente do fornecimento do objeto desta licitação, correrão por conta exclusiva da contratada. O regime de execução do objeto será o de menor preço unitário (art. 6.º, XLI da Lei n.º 14.133/2021).</w:t>
      </w:r>
    </w:p>
    <w:p w14:paraId="67850B3E">
      <w:pPr>
        <w:spacing w:before="288" w:beforeLines="120" w:after="288" w:afterLines="120" w:line="288" w:lineRule="auto"/>
        <w:rPr>
          <w:sz w:val="24"/>
          <w:szCs w:val="24"/>
        </w:rPr>
      </w:pPr>
      <w:r>
        <w:rPr>
          <w:b/>
          <w:sz w:val="24"/>
          <w:szCs w:val="24"/>
        </w:rPr>
        <w:t>5.2 -</w:t>
      </w:r>
      <w:r>
        <w:rPr>
          <w:sz w:val="24"/>
          <w:szCs w:val="24"/>
        </w:rPr>
        <w:t xml:space="preserve"> Caso não seja possível a entrega no prazo estabelecido no subitem anterior, a empresa deverá comunicar, por escrito, as razões respectivas com pelo menos 5 (cinco) dias úteis de antecedência para que qualquer pleito de prorrogação de prazo seja analisado pela Contratante, ressalvadas situações de caso fortuito e força maior.</w:t>
      </w:r>
    </w:p>
    <w:p w14:paraId="75034F5F">
      <w:pPr>
        <w:spacing w:before="288" w:beforeLines="120" w:after="288" w:afterLines="120" w:line="288" w:lineRule="auto"/>
        <w:rPr>
          <w:sz w:val="24"/>
          <w:szCs w:val="24"/>
        </w:rPr>
      </w:pPr>
      <w:r>
        <w:rPr>
          <w:b/>
          <w:sz w:val="24"/>
          <w:szCs w:val="24"/>
        </w:rPr>
        <w:t>5.3 -</w:t>
      </w:r>
      <w:r>
        <w:rPr>
          <w:sz w:val="24"/>
          <w:szCs w:val="24"/>
        </w:rPr>
        <w:t xml:space="preserve"> Toda logística para entrega e eventual substituição dos veículos que integram o objeto da aquisição no endereço informado, ficará integralmente por conta da Contratada.</w:t>
      </w:r>
    </w:p>
    <w:p w14:paraId="0EB960CC">
      <w:pPr>
        <w:spacing w:before="288" w:beforeLines="120" w:after="288" w:afterLines="120" w:line="288" w:lineRule="auto"/>
        <w:rPr>
          <w:b/>
          <w:sz w:val="24"/>
          <w:szCs w:val="24"/>
        </w:rPr>
      </w:pPr>
      <w:r>
        <w:rPr>
          <w:b/>
          <w:sz w:val="24"/>
          <w:szCs w:val="24"/>
        </w:rPr>
        <w:t>Do Recebimento do Objeto</w:t>
      </w:r>
    </w:p>
    <w:p w14:paraId="286FB17F">
      <w:pPr>
        <w:spacing w:before="288" w:beforeLines="120" w:after="288" w:afterLines="120" w:line="288" w:lineRule="auto"/>
        <w:rPr>
          <w:sz w:val="24"/>
          <w:szCs w:val="24"/>
        </w:rPr>
      </w:pPr>
      <w:r>
        <w:rPr>
          <w:b/>
          <w:sz w:val="24"/>
          <w:szCs w:val="24"/>
        </w:rPr>
        <w:t xml:space="preserve">5.3.1. </w:t>
      </w:r>
      <w:r>
        <w:rPr>
          <w:sz w:val="24"/>
          <w:szCs w:val="24"/>
        </w:rPr>
        <w:t>A entrega deverá ser realizada no prazo máximo de 120 (cento e vinte) dias corridos, a partir do recebimento da Nota de Empenho e assinatura do Contrato, por conta e risco do adjudicatário, sem nenhum ônus para a municipalidade, correndo por conta exclusiva da licitante os custos de transporte, frete, carregamento e descarregamento na forma necessária. Todas as despesas de transporte, tributos, frete, carregamento, descarregamento, encargos trabalhistas e previdenciários e outros custos decorrentes direta e indiretamente do fornecimento do objeto desta licitação, correrão por conta exclusiva da contratada.</w:t>
      </w:r>
    </w:p>
    <w:p w14:paraId="0F95C2B1">
      <w:pPr>
        <w:spacing w:before="288" w:beforeLines="120" w:after="288" w:afterLines="120" w:line="288" w:lineRule="auto"/>
        <w:rPr>
          <w:sz w:val="24"/>
          <w:szCs w:val="24"/>
        </w:rPr>
      </w:pPr>
      <w:r>
        <w:rPr>
          <w:b/>
          <w:sz w:val="24"/>
          <w:szCs w:val="24"/>
        </w:rPr>
        <w:t>5.3.2.</w:t>
      </w:r>
      <w:r>
        <w:rPr>
          <w:sz w:val="24"/>
          <w:szCs w:val="24"/>
        </w:rPr>
        <w:t xml:space="preserve"> O recebimento provisório ou definitivo não excluirá a responsabilidade civil pela solidez e pela segurança do fornecimento do objeto, nem a responsabilidade ético- profissional pela perfeita execução do contrato, nos limites estabelecidos pela lei ou pelo contrato.</w:t>
      </w:r>
    </w:p>
    <w:p w14:paraId="3F6D9ECC">
      <w:pPr>
        <w:spacing w:before="288" w:beforeLines="120" w:after="288" w:afterLines="120" w:line="288" w:lineRule="auto"/>
        <w:rPr>
          <w:sz w:val="24"/>
          <w:szCs w:val="24"/>
        </w:rPr>
      </w:pPr>
      <w:r>
        <w:rPr>
          <w:b/>
          <w:sz w:val="24"/>
          <w:szCs w:val="24"/>
        </w:rPr>
        <w:t>5.3.3.</w:t>
      </w:r>
      <w:r>
        <w:rPr>
          <w:sz w:val="24"/>
          <w:szCs w:val="24"/>
        </w:rPr>
        <w:t xml:space="preserve"> O prazo para a solução, pelo contratado, de inconsistências na execução do objeto ou de saneamento da nota fiscal, verificadas pela Administração durante a análise prévia à liquidação de despesa, não será computado para os fins do recebimento definitivo.</w:t>
      </w:r>
    </w:p>
    <w:p w14:paraId="06442B42">
      <w:pPr>
        <w:spacing w:before="288" w:beforeLines="120" w:after="288" w:afterLines="120" w:line="288" w:lineRule="auto"/>
        <w:rPr>
          <w:b/>
          <w:sz w:val="24"/>
          <w:szCs w:val="24"/>
        </w:rPr>
      </w:pPr>
      <w:r>
        <w:rPr>
          <w:b/>
          <w:sz w:val="24"/>
          <w:szCs w:val="24"/>
        </w:rPr>
        <w:t>6. DO MODELO DE GESTÃO DO CONTRATO (art. 6º, inc. XXIII, alínea ‘f’ da Lei n.º 14.133/2021)</w:t>
      </w:r>
    </w:p>
    <w:p w14:paraId="003C3316">
      <w:pPr>
        <w:spacing w:before="288" w:beforeLines="120" w:after="288" w:afterLines="120" w:line="288" w:lineRule="auto"/>
        <w:rPr>
          <w:b/>
          <w:sz w:val="24"/>
          <w:szCs w:val="24"/>
        </w:rPr>
      </w:pPr>
      <w:r>
        <w:rPr>
          <w:b/>
          <w:sz w:val="24"/>
          <w:szCs w:val="24"/>
        </w:rPr>
        <w:t>Do Reajuste</w:t>
      </w:r>
    </w:p>
    <w:p w14:paraId="7B7A54DF">
      <w:pPr>
        <w:spacing w:before="288" w:beforeLines="120" w:after="288" w:afterLines="120" w:line="288" w:lineRule="auto"/>
        <w:rPr>
          <w:sz w:val="24"/>
          <w:szCs w:val="24"/>
        </w:rPr>
      </w:pPr>
      <w:r>
        <w:rPr>
          <w:b/>
          <w:sz w:val="24"/>
          <w:szCs w:val="24"/>
        </w:rPr>
        <w:t>6.1 -</w:t>
      </w:r>
      <w:r>
        <w:rPr>
          <w:sz w:val="24"/>
          <w:szCs w:val="24"/>
        </w:rPr>
        <w:t xml:space="preserve"> Os preços inicialmente contratados são fixos e irreajustáveis no prazo de um ano contado da data do orçamento estimado, conforme art. 25, § 7° da Lei n.º 14.133/2021.</w:t>
      </w:r>
    </w:p>
    <w:p w14:paraId="18CFB61E">
      <w:pPr>
        <w:spacing w:before="288" w:beforeLines="120" w:after="288" w:afterLines="120" w:line="288" w:lineRule="auto"/>
        <w:rPr>
          <w:sz w:val="24"/>
          <w:szCs w:val="24"/>
        </w:rPr>
      </w:pPr>
      <w:r>
        <w:rPr>
          <w:b/>
          <w:sz w:val="24"/>
          <w:szCs w:val="24"/>
        </w:rPr>
        <w:t>6.2 -</w:t>
      </w:r>
      <w:r>
        <w:rPr>
          <w:sz w:val="24"/>
          <w:szCs w:val="24"/>
        </w:rPr>
        <w:t xml:space="preserve"> Após o interregno de um ano os preços iniciais serão reajustados, mediante a aplicação, pela Contratante, do índice IPCA, exclusivamente para as obrigações iniciadas e concluídas após a ocorrência da anualidade.</w:t>
      </w:r>
    </w:p>
    <w:p w14:paraId="3DDB6571">
      <w:pPr>
        <w:spacing w:before="288" w:beforeLines="120" w:after="288" w:afterLines="120" w:line="288" w:lineRule="auto"/>
        <w:rPr>
          <w:b/>
          <w:sz w:val="24"/>
          <w:szCs w:val="24"/>
        </w:rPr>
      </w:pPr>
      <w:r>
        <w:rPr>
          <w:b/>
          <w:sz w:val="24"/>
          <w:szCs w:val="24"/>
        </w:rPr>
        <w:t>Da Gestão Contratual</w:t>
      </w:r>
    </w:p>
    <w:p w14:paraId="68F5DB18">
      <w:pPr>
        <w:spacing w:before="288" w:beforeLines="120" w:after="288" w:afterLines="120" w:line="288" w:lineRule="auto"/>
        <w:rPr>
          <w:sz w:val="24"/>
          <w:szCs w:val="24"/>
        </w:rPr>
      </w:pPr>
      <w:r>
        <w:rPr>
          <w:b/>
          <w:sz w:val="24"/>
          <w:szCs w:val="24"/>
        </w:rPr>
        <w:t>6.3 -</w:t>
      </w:r>
      <w:r>
        <w:rPr>
          <w:sz w:val="24"/>
          <w:szCs w:val="24"/>
        </w:rPr>
        <w:t xml:space="preserve"> O contrato deverá ser executado fielmente pelas partes, de acordo com as cláusulas avençadas e as normas da Lei nº 14.133 de 2021, e cada parte responderá pelas consequências de sua inexecução total ou parcial (art. 155, caput da Lei n.º 14.133/2021).</w:t>
      </w:r>
    </w:p>
    <w:p w14:paraId="45D017B5">
      <w:pPr>
        <w:spacing w:before="288" w:beforeLines="120" w:after="288" w:afterLines="120" w:line="288" w:lineRule="auto"/>
        <w:rPr>
          <w:sz w:val="24"/>
          <w:szCs w:val="24"/>
        </w:rPr>
      </w:pPr>
      <w:r>
        <w:rPr>
          <w:b/>
          <w:sz w:val="24"/>
          <w:szCs w:val="24"/>
        </w:rPr>
        <w:t>6.4 -</w:t>
      </w:r>
      <w:r>
        <w:rPr>
          <w:sz w:val="24"/>
          <w:szCs w:val="24"/>
        </w:rPr>
        <w:t xml:space="preserve"> As comunicações entre a Secretaria Municipal de Saúde de Valença/RJ e a Contratada devem ser realizadas por escrito sempre que o ato exigir tal formalidade, admitindo-se, excepcionalmente, o uso de mensagem eletrônica para esse fim.</w:t>
      </w:r>
    </w:p>
    <w:p w14:paraId="0310107B">
      <w:pPr>
        <w:spacing w:before="288" w:beforeLines="120" w:after="288" w:afterLines="120" w:line="288" w:lineRule="auto"/>
        <w:rPr>
          <w:sz w:val="24"/>
          <w:szCs w:val="24"/>
        </w:rPr>
      </w:pPr>
      <w:r>
        <w:rPr>
          <w:b/>
          <w:sz w:val="24"/>
          <w:szCs w:val="24"/>
        </w:rPr>
        <w:t>6.5 -</w:t>
      </w:r>
      <w:r>
        <w:rPr>
          <w:sz w:val="24"/>
          <w:szCs w:val="24"/>
        </w:rPr>
        <w:t xml:space="preserve"> A Secretaria Municipal de Saúde de Valença/RJ poderá convocar representante da empresa para adoção de providências que devam ser cumpridas de imediato.</w:t>
      </w:r>
    </w:p>
    <w:p w14:paraId="308379BC">
      <w:pPr>
        <w:spacing w:before="288" w:beforeLines="120" w:after="288" w:afterLines="120" w:line="288" w:lineRule="auto"/>
        <w:rPr>
          <w:sz w:val="24"/>
          <w:szCs w:val="24"/>
        </w:rPr>
      </w:pPr>
      <w:r>
        <w:rPr>
          <w:b/>
          <w:sz w:val="24"/>
          <w:szCs w:val="24"/>
        </w:rPr>
        <w:t>6.6 -</w:t>
      </w:r>
      <w:r>
        <w:rPr>
          <w:sz w:val="24"/>
          <w:szCs w:val="24"/>
        </w:rPr>
        <w:t xml:space="preserve"> A execução do Contrato e a respectiva prestação dos serviços serão acompanhadas e fiscalizadas por 02 (dois) funcionários a serem designados pela Secretaria, ou pelos respectivos</w:t>
      </w:r>
      <w:r>
        <w:t xml:space="preserve"> </w:t>
      </w:r>
      <w:r>
        <w:rPr>
          <w:sz w:val="24"/>
          <w:szCs w:val="24"/>
        </w:rPr>
        <w:t>suplentes, através de Portaria de Fiscal de Contrato, na condição de representantes da CONTRATANTE.</w:t>
      </w:r>
    </w:p>
    <w:p w14:paraId="21665F6E">
      <w:pPr>
        <w:spacing w:before="288" w:beforeLines="120" w:after="288" w:afterLines="120" w:line="288" w:lineRule="auto"/>
        <w:rPr>
          <w:sz w:val="24"/>
          <w:szCs w:val="24"/>
        </w:rPr>
      </w:pPr>
      <w:r>
        <w:rPr>
          <w:b/>
          <w:sz w:val="24"/>
          <w:szCs w:val="24"/>
        </w:rPr>
        <w:t>6.7 -</w:t>
      </w:r>
      <w:r>
        <w:rPr>
          <w:sz w:val="24"/>
          <w:szCs w:val="24"/>
        </w:rPr>
        <w:t xml:space="preserve"> A execução do contrato deverá ser acompanhada e fiscalizada pelos fiscais do contrato, ou pelos respectivos substitutos, conforme art. 117, caput, da Lei nº 14.133/2021.</w:t>
      </w:r>
    </w:p>
    <w:p w14:paraId="593344CC">
      <w:pPr>
        <w:spacing w:before="288" w:beforeLines="120" w:after="288" w:afterLines="120" w:line="288" w:lineRule="auto"/>
        <w:rPr>
          <w:sz w:val="24"/>
          <w:szCs w:val="24"/>
        </w:rPr>
      </w:pPr>
      <w:r>
        <w:rPr>
          <w:b/>
          <w:sz w:val="24"/>
          <w:szCs w:val="24"/>
        </w:rPr>
        <w:t>6.7.1.</w:t>
      </w:r>
      <w:r>
        <w:rPr>
          <w:sz w:val="24"/>
          <w:szCs w:val="24"/>
        </w:rPr>
        <w:t xml:space="preserve"> O fiscal do contrato anotará em registro próprio todas as ocorrências relacionadas à execução do contrato, recomendando o que for necessário a regularização das faltas ou dos defeitos observados;</w:t>
      </w:r>
    </w:p>
    <w:p w14:paraId="0559005C">
      <w:pPr>
        <w:spacing w:before="288" w:beforeLines="120" w:after="288" w:afterLines="120" w:line="288" w:lineRule="auto"/>
        <w:rPr>
          <w:sz w:val="24"/>
          <w:szCs w:val="24"/>
        </w:rPr>
      </w:pPr>
      <w:r>
        <w:rPr>
          <w:b/>
          <w:sz w:val="24"/>
          <w:szCs w:val="24"/>
        </w:rPr>
        <w:t>6.7.2.</w:t>
      </w:r>
      <w:r>
        <w:rPr>
          <w:sz w:val="24"/>
          <w:szCs w:val="24"/>
        </w:rPr>
        <w:t xml:space="preserve"> Informar ao gestor do contrato as ocorrências que demandem a adoção de medidas necessárias e saneadoras, bem como quaisquer ocorrências que possam inviabilizar a execução do contrato nas datas aprazadas;</w:t>
      </w:r>
    </w:p>
    <w:p w14:paraId="22B78946">
      <w:pPr>
        <w:spacing w:before="288" w:beforeLines="120" w:after="288" w:afterLines="120" w:line="288" w:lineRule="auto"/>
        <w:rPr>
          <w:sz w:val="24"/>
          <w:szCs w:val="24"/>
        </w:rPr>
      </w:pPr>
      <w:r>
        <w:rPr>
          <w:b/>
          <w:sz w:val="24"/>
          <w:szCs w:val="24"/>
        </w:rPr>
        <w:t>6.7.3.</w:t>
      </w:r>
      <w:r>
        <w:rPr>
          <w:sz w:val="24"/>
          <w:szCs w:val="24"/>
        </w:rPr>
        <w:t xml:space="preserve"> Examinar a regularidade no recolhimento das contribuições fiscais, trabalhistas e previdenciárias e, em caso de descumprimento, informar imediatamente ao gestor do contrato para a adoção das medidas necessárias;</w:t>
      </w:r>
    </w:p>
    <w:p w14:paraId="7B9AED8F">
      <w:pPr>
        <w:spacing w:before="288" w:beforeLines="120" w:after="288" w:afterLines="120" w:line="288" w:lineRule="auto"/>
        <w:rPr>
          <w:sz w:val="24"/>
          <w:szCs w:val="24"/>
        </w:rPr>
      </w:pPr>
      <w:r>
        <w:rPr>
          <w:b/>
          <w:sz w:val="24"/>
          <w:szCs w:val="24"/>
        </w:rPr>
        <w:t>6.8 -</w:t>
      </w:r>
      <w:r>
        <w:rPr>
          <w:sz w:val="24"/>
          <w:szCs w:val="24"/>
        </w:rPr>
        <w:t xml:space="preserve"> O Gestor do Contrato deverá coordenar as atividades relacionadas à fiscalização, bem como dos atos preparatórios à instrução processual e encaminhar a documentação pertinente ao setor de contratos para formalização dos procedimentos quanto aos aspectos que envolvam a prorrogação, alteração, reequilíbrio, pagamento, eventual aplicação de sanções, extinção dos contratos, dentre outros.</w:t>
      </w:r>
    </w:p>
    <w:p w14:paraId="10DF2DB5">
      <w:pPr>
        <w:spacing w:before="288" w:beforeLines="120" w:after="288" w:afterLines="120" w:line="288" w:lineRule="auto"/>
        <w:rPr>
          <w:sz w:val="24"/>
          <w:szCs w:val="24"/>
        </w:rPr>
      </w:pPr>
      <w:r>
        <w:rPr>
          <w:b/>
          <w:sz w:val="24"/>
          <w:szCs w:val="24"/>
        </w:rPr>
        <w:t>6.9 -</w:t>
      </w:r>
      <w:r>
        <w:rPr>
          <w:sz w:val="24"/>
          <w:szCs w:val="24"/>
        </w:rPr>
        <w:t xml:space="preserve"> A Fiscalização técnica deverá acompanhar o contrato com o objetivo de avaliar a execução do objeto nos moldes contratados e, se for o caso, aferir se a quantidade, qualidade, tempo e modo da prestação ou execução do objeto estão compatíveis com os indicadores estipulados no edital, para efeitos de pagamento conforme o resultado pretendido pela Diretoria Requisitante.</w:t>
      </w:r>
    </w:p>
    <w:p w14:paraId="5C507542">
      <w:pPr>
        <w:spacing w:before="288" w:beforeLines="120" w:after="288" w:afterLines="120" w:line="288" w:lineRule="auto"/>
        <w:rPr>
          <w:sz w:val="24"/>
          <w:szCs w:val="24"/>
        </w:rPr>
      </w:pPr>
      <w:r>
        <w:rPr>
          <w:b/>
          <w:sz w:val="24"/>
          <w:szCs w:val="24"/>
        </w:rPr>
        <w:t>6.10 -</w:t>
      </w:r>
      <w:r>
        <w:rPr>
          <w:sz w:val="24"/>
          <w:szCs w:val="24"/>
        </w:rPr>
        <w:t xml:space="preserve"> Elaborar relatório final, de que trata a alínea “d”, do inciso VI, do §3º do art. 174 da Lei nº 14.133/2021, com as informações quanto à execução do contrato, concluindo com as lições aprendidas, como forma de aprimoramento das atividades da Secretaria Requisitante.</w:t>
      </w:r>
    </w:p>
    <w:p w14:paraId="7B60C404">
      <w:pPr>
        <w:spacing w:before="288" w:beforeLines="120" w:after="288" w:afterLines="120" w:line="288" w:lineRule="auto"/>
        <w:rPr>
          <w:b/>
          <w:sz w:val="24"/>
          <w:szCs w:val="24"/>
        </w:rPr>
      </w:pPr>
      <w:r>
        <w:rPr>
          <w:b/>
          <w:sz w:val="24"/>
          <w:szCs w:val="24"/>
        </w:rPr>
        <w:t>7. DO PAGAMENTO</w:t>
      </w:r>
    </w:p>
    <w:p w14:paraId="51AED367">
      <w:pPr>
        <w:spacing w:before="288" w:beforeLines="120" w:after="288" w:afterLines="120" w:line="288" w:lineRule="auto"/>
        <w:rPr>
          <w:sz w:val="24"/>
          <w:szCs w:val="24"/>
        </w:rPr>
      </w:pPr>
      <w:r>
        <w:rPr>
          <w:b/>
          <w:sz w:val="24"/>
          <w:szCs w:val="24"/>
        </w:rPr>
        <w:t>7.1 -</w:t>
      </w:r>
      <w:r>
        <w:rPr>
          <w:sz w:val="24"/>
          <w:szCs w:val="24"/>
        </w:rPr>
        <w:t xml:space="preserve"> O pagamento será efetuado até 30 (trinta) dias contados a partir da data da entrega efetiva dos produtos, sendo que a mesma deverá ser sempre acompanhada da respectiva Nota Fiscal, e com o aceite do Setor Competente desta Secretaria Municipal de Valença/RJ, através de seu titular.</w:t>
      </w:r>
    </w:p>
    <w:p w14:paraId="4ACA684B">
      <w:pPr>
        <w:spacing w:before="288" w:beforeLines="120" w:after="288" w:afterLines="120" w:line="288" w:lineRule="auto"/>
        <w:rPr>
          <w:sz w:val="24"/>
          <w:szCs w:val="24"/>
        </w:rPr>
      </w:pPr>
      <w:r>
        <w:rPr>
          <w:b/>
          <w:sz w:val="24"/>
          <w:szCs w:val="24"/>
        </w:rPr>
        <w:t>7.2 -</w:t>
      </w:r>
      <w:r>
        <w:rPr>
          <w:sz w:val="24"/>
          <w:szCs w:val="24"/>
        </w:rPr>
        <w:t xml:space="preserve"> Os documentos fiscais de cobrança deverão ser emitidos contra a Prefeitura Municipal de Valença/RJ, CNPJ: 29.076.130/0001-90.</w:t>
      </w:r>
    </w:p>
    <w:p w14:paraId="344FC0B4">
      <w:pPr>
        <w:spacing w:before="288" w:beforeLines="120" w:after="288" w:afterLines="120" w:line="288" w:lineRule="auto"/>
        <w:rPr>
          <w:sz w:val="24"/>
          <w:szCs w:val="24"/>
        </w:rPr>
      </w:pPr>
      <w:r>
        <w:rPr>
          <w:b/>
          <w:sz w:val="24"/>
          <w:szCs w:val="24"/>
        </w:rPr>
        <w:t>7.3 -</w:t>
      </w:r>
      <w:r>
        <w:rPr>
          <w:sz w:val="24"/>
          <w:szCs w:val="24"/>
        </w:rPr>
        <w:t xml:space="preserve"> A Contratante efetuará o pagamento a Contratada, no valor da Nota de Empenho, no 30º (trigésimo) dia corrido, após o recebimento definitivo e apresentação da Nota Fiscal/Fatura</w:t>
      </w:r>
      <w:r>
        <w:t xml:space="preserve"> </w:t>
      </w:r>
      <w:r>
        <w:rPr>
          <w:sz w:val="24"/>
          <w:szCs w:val="24"/>
        </w:rPr>
        <w:t>correspondente, devidamente aceita e atestada pelo órgão competente da Administração Municipal.</w:t>
      </w:r>
    </w:p>
    <w:p w14:paraId="2F7DF282">
      <w:pPr>
        <w:spacing w:before="288" w:beforeLines="120" w:after="288" w:afterLines="120" w:line="288" w:lineRule="auto"/>
        <w:rPr>
          <w:sz w:val="24"/>
          <w:szCs w:val="24"/>
        </w:rPr>
      </w:pPr>
      <w:r>
        <w:rPr>
          <w:b/>
          <w:sz w:val="24"/>
          <w:szCs w:val="24"/>
        </w:rPr>
        <w:t>7.4 -</w:t>
      </w:r>
      <w:r>
        <w:rPr>
          <w:sz w:val="24"/>
          <w:szCs w:val="24"/>
        </w:rPr>
        <w:t xml:space="preserve"> Deverá constar no documento fiscal o número do Pregão e o número da Nota de Empenho.</w:t>
      </w:r>
    </w:p>
    <w:p w14:paraId="1BBD0CB9">
      <w:pPr>
        <w:spacing w:before="288" w:beforeLines="120" w:after="288" w:afterLines="120" w:line="288" w:lineRule="auto"/>
        <w:rPr>
          <w:sz w:val="24"/>
          <w:szCs w:val="24"/>
        </w:rPr>
      </w:pPr>
      <w:r>
        <w:rPr>
          <w:b/>
          <w:sz w:val="24"/>
          <w:szCs w:val="24"/>
        </w:rPr>
        <w:t>7.5 -</w:t>
      </w:r>
      <w:r>
        <w:rPr>
          <w:sz w:val="24"/>
          <w:szCs w:val="24"/>
        </w:rPr>
        <w:t xml:space="preserve"> O setor requisitante da Contratante deverá encaminhar ao Setor de Contabilidade do Fundo Municipal de Saúde, no prazo máximo de 05 (cinco) dias úteis, a partir do seu recebimento, a referida Nota Fiscal/Fatura, devidamente aceita e atestada, acompanhada dos documentos de controle interno, para que sejam tomadas as devidas providências para pagamento.</w:t>
      </w:r>
    </w:p>
    <w:p w14:paraId="0BB7B0F2">
      <w:pPr>
        <w:spacing w:before="288" w:beforeLines="120" w:after="288" w:afterLines="120" w:line="288" w:lineRule="auto"/>
        <w:rPr>
          <w:sz w:val="24"/>
          <w:szCs w:val="24"/>
        </w:rPr>
      </w:pPr>
      <w:r>
        <w:rPr>
          <w:b/>
          <w:sz w:val="24"/>
          <w:szCs w:val="24"/>
        </w:rPr>
        <w:t>7.6 -</w:t>
      </w:r>
      <w:r>
        <w:rPr>
          <w:sz w:val="24"/>
          <w:szCs w:val="24"/>
        </w:rPr>
        <w:t xml:space="preserve"> Havendo erro no documento de cobrança ou outra circunstância impeditiva, a liquidação da despesa ficará pendente e o pagamento sustado até que a Contratada providencie as medidas saneadoras necessárias, não ocorrendo, neste caso, quaisquer ônus por parte da Contratante.</w:t>
      </w:r>
    </w:p>
    <w:p w14:paraId="0AC7AD19">
      <w:pPr>
        <w:spacing w:before="288" w:beforeLines="120" w:after="288" w:afterLines="120" w:line="288" w:lineRule="auto"/>
        <w:rPr>
          <w:b/>
          <w:sz w:val="24"/>
          <w:szCs w:val="24"/>
        </w:rPr>
      </w:pPr>
      <w:r>
        <w:rPr>
          <w:b/>
          <w:sz w:val="24"/>
          <w:szCs w:val="24"/>
        </w:rPr>
        <w:t>8. DA FORMA E CRITÉRIOS DE SELEÇÃO DE FORNECEDOR (art. 6º, inciso XLI, da Lei nº 14.133/2021)</w:t>
      </w:r>
    </w:p>
    <w:p w14:paraId="7A807762">
      <w:pPr>
        <w:spacing w:before="288" w:beforeLines="120" w:after="288" w:afterLines="120" w:line="288" w:lineRule="auto"/>
        <w:rPr>
          <w:sz w:val="24"/>
          <w:szCs w:val="24"/>
        </w:rPr>
      </w:pPr>
      <w:r>
        <w:rPr>
          <w:b/>
          <w:sz w:val="24"/>
          <w:szCs w:val="24"/>
        </w:rPr>
        <w:t>8.1 -</w:t>
      </w:r>
      <w:r>
        <w:rPr>
          <w:sz w:val="24"/>
          <w:szCs w:val="24"/>
        </w:rPr>
        <w:t xml:space="preserve"> O fornecedor será selecionado por meio da realização de procedimento de licitação, na modalidade pregão, sob a sua forma eletrônica, por meio do Sistema de Registro de Preços, com adoção do critério de julgamento pelo menor preço por item.</w:t>
      </w:r>
    </w:p>
    <w:p w14:paraId="002900FE">
      <w:pPr>
        <w:spacing w:before="288" w:beforeLines="120" w:after="288" w:afterLines="120" w:line="288" w:lineRule="auto"/>
        <w:rPr>
          <w:b/>
          <w:sz w:val="24"/>
          <w:szCs w:val="24"/>
        </w:rPr>
      </w:pPr>
      <w:r>
        <w:rPr>
          <w:b/>
          <w:sz w:val="24"/>
          <w:szCs w:val="24"/>
        </w:rPr>
        <w:t>Da Utilização do Sistema de Registro de Preços</w:t>
      </w:r>
    </w:p>
    <w:p w14:paraId="2D953E09">
      <w:pPr>
        <w:spacing w:before="288" w:beforeLines="120" w:after="288" w:afterLines="120" w:line="288" w:lineRule="auto"/>
        <w:rPr>
          <w:sz w:val="24"/>
          <w:szCs w:val="24"/>
        </w:rPr>
      </w:pPr>
      <w:r>
        <w:rPr>
          <w:b/>
          <w:sz w:val="24"/>
          <w:szCs w:val="24"/>
        </w:rPr>
        <w:t xml:space="preserve">8.2 - </w:t>
      </w:r>
      <w:r>
        <w:rPr>
          <w:sz w:val="24"/>
          <w:szCs w:val="24"/>
        </w:rPr>
        <w:t>A escolha do procedimento de Sistema de Registro de Preços visa agilidade nas contratações, tendo em vista que a licitação já estará realizada, as condições de fornecimento estarão ajustadas, os preços e os respectivos fornecedores já estarão definidos. Sendo assim, somente solicitará o fornecimento do objeto, cujo preço foi registrado, quando houver demanda e o fornecedor deverá realizar o fornecimento conforme as condições ajustadas.</w:t>
      </w:r>
    </w:p>
    <w:p w14:paraId="1BC01D72">
      <w:pPr>
        <w:spacing w:before="288" w:beforeLines="120" w:after="288" w:afterLines="120" w:line="288" w:lineRule="auto"/>
        <w:rPr>
          <w:sz w:val="24"/>
          <w:szCs w:val="24"/>
        </w:rPr>
      </w:pPr>
      <w:r>
        <w:rPr>
          <w:b/>
          <w:sz w:val="24"/>
          <w:szCs w:val="24"/>
        </w:rPr>
        <w:t>8.3 -</w:t>
      </w:r>
      <w:r>
        <w:rPr>
          <w:sz w:val="24"/>
          <w:szCs w:val="24"/>
        </w:rPr>
        <w:t xml:space="preserve"> Importante destacar que se justifica a adoção do Sistema de Registro de Preços, uma vez que as contratações futuras se darão por meio de entregas parceladas, cuja definição da demanda não é possível ser previamente quantificada com precisão, visando minimizar os riscos de desabastecimento e reduzir os custos necessários.</w:t>
      </w:r>
    </w:p>
    <w:p w14:paraId="4754A86C">
      <w:pPr>
        <w:spacing w:before="288" w:beforeLines="120" w:after="288" w:afterLines="120" w:line="288" w:lineRule="auto"/>
        <w:rPr>
          <w:b/>
          <w:sz w:val="24"/>
          <w:szCs w:val="24"/>
        </w:rPr>
      </w:pPr>
      <w:r>
        <w:rPr>
          <w:b/>
          <w:sz w:val="24"/>
          <w:szCs w:val="24"/>
        </w:rPr>
        <w:t>Dos Órgãos Participantes do Registro de Preços</w:t>
      </w:r>
    </w:p>
    <w:p w14:paraId="1CE7DDC9">
      <w:pPr>
        <w:spacing w:before="288" w:beforeLines="120" w:after="288" w:afterLines="120" w:line="288" w:lineRule="auto"/>
        <w:rPr>
          <w:sz w:val="24"/>
          <w:szCs w:val="24"/>
        </w:rPr>
      </w:pPr>
      <w:r>
        <w:rPr>
          <w:b/>
          <w:sz w:val="24"/>
          <w:szCs w:val="24"/>
        </w:rPr>
        <w:t>8.4 -</w:t>
      </w:r>
      <w:r>
        <w:rPr>
          <w:sz w:val="24"/>
          <w:szCs w:val="24"/>
        </w:rPr>
        <w:t xml:space="preserve"> Define-se, como órgão participante do Sistema de Registro de Preços a Secretaria Municipal de Saúde da Prefeitura Municipal de Valença - RJ.</w:t>
      </w:r>
    </w:p>
    <w:p w14:paraId="0634210B">
      <w:pPr>
        <w:spacing w:before="288" w:beforeLines="120" w:after="288" w:afterLines="120" w:line="288" w:lineRule="auto"/>
        <w:rPr>
          <w:b/>
          <w:sz w:val="24"/>
          <w:szCs w:val="24"/>
        </w:rPr>
      </w:pPr>
      <w:r>
        <w:rPr>
          <w:b/>
          <w:sz w:val="24"/>
          <w:szCs w:val="24"/>
        </w:rPr>
        <w:t>Da Vigência da Ata de Registro de Preços</w:t>
      </w:r>
    </w:p>
    <w:p w14:paraId="44ADB562">
      <w:pPr>
        <w:spacing w:before="288" w:beforeLines="120" w:after="288" w:afterLines="120" w:line="288" w:lineRule="auto"/>
        <w:rPr>
          <w:sz w:val="24"/>
          <w:szCs w:val="24"/>
        </w:rPr>
      </w:pPr>
      <w:r>
        <w:rPr>
          <w:b/>
          <w:sz w:val="24"/>
          <w:szCs w:val="24"/>
        </w:rPr>
        <w:t>8.5 -</w:t>
      </w:r>
      <w:r>
        <w:rPr>
          <w:sz w:val="24"/>
          <w:szCs w:val="24"/>
        </w:rPr>
        <w:t xml:space="preserve"> O presente Registro de Preços terá vigência de 12 (doze) meses, e poderá ser prorrogado, por igual período, desde que comprovada que as condições e o preço permanecem vantajosos, nos termos do art. 84 Lei nº 14.133/2021.</w:t>
      </w:r>
    </w:p>
    <w:p w14:paraId="1E7B0624">
      <w:pPr>
        <w:spacing w:before="288" w:beforeLines="120" w:after="288" w:afterLines="120" w:line="288" w:lineRule="auto"/>
        <w:rPr>
          <w:b/>
          <w:sz w:val="24"/>
          <w:szCs w:val="24"/>
        </w:rPr>
      </w:pPr>
      <w:r>
        <w:rPr>
          <w:b/>
          <w:sz w:val="24"/>
          <w:szCs w:val="24"/>
        </w:rPr>
        <w:t>Do Cancelamento do Registro de Preços</w:t>
      </w:r>
    </w:p>
    <w:p w14:paraId="47179E4D">
      <w:pPr>
        <w:spacing w:before="288" w:beforeLines="120" w:after="288" w:afterLines="120" w:line="288" w:lineRule="auto"/>
        <w:rPr>
          <w:sz w:val="24"/>
          <w:szCs w:val="24"/>
        </w:rPr>
      </w:pPr>
      <w:r>
        <w:rPr>
          <w:b/>
          <w:sz w:val="24"/>
          <w:szCs w:val="24"/>
        </w:rPr>
        <w:t xml:space="preserve">8.6 - </w:t>
      </w:r>
      <w:r>
        <w:rPr>
          <w:sz w:val="24"/>
          <w:szCs w:val="24"/>
        </w:rPr>
        <w:t>A licitante vencedora terá o seu registro de preço cancelado, a pedido, quando: 8.6.1. comprovar a impossibilidade de cumprir as exigências da Ata de Registro de Preços por ocorrência de caso fortuito ou de força maior;</w:t>
      </w:r>
    </w:p>
    <w:p w14:paraId="3677B063">
      <w:pPr>
        <w:spacing w:before="288" w:beforeLines="120" w:after="288" w:afterLines="120" w:line="288" w:lineRule="auto"/>
        <w:rPr>
          <w:sz w:val="24"/>
          <w:szCs w:val="24"/>
        </w:rPr>
      </w:pPr>
      <w:r>
        <w:rPr>
          <w:b/>
          <w:sz w:val="24"/>
          <w:szCs w:val="24"/>
        </w:rPr>
        <w:t>8.6.2.</w:t>
      </w:r>
      <w:r>
        <w:rPr>
          <w:sz w:val="24"/>
          <w:szCs w:val="24"/>
        </w:rPr>
        <w:t xml:space="preserve"> o seu preço registrado se tornar, comprovadamente, inexequível em função da elevação dos preços de mercado dos insumos que compõem o custo dos materiais.</w:t>
      </w:r>
    </w:p>
    <w:p w14:paraId="020EE8A6">
      <w:pPr>
        <w:spacing w:before="288" w:beforeLines="120" w:after="288" w:afterLines="120" w:line="288" w:lineRule="auto"/>
        <w:rPr>
          <w:sz w:val="24"/>
          <w:szCs w:val="24"/>
        </w:rPr>
      </w:pPr>
      <w:r>
        <w:rPr>
          <w:b/>
          <w:sz w:val="24"/>
          <w:szCs w:val="24"/>
        </w:rPr>
        <w:t>8.7 -</w:t>
      </w:r>
      <w:r>
        <w:rPr>
          <w:sz w:val="24"/>
          <w:szCs w:val="24"/>
        </w:rPr>
        <w:t xml:space="preserve"> A licitante vencedora terá o seu registro de preço cancelado, por iniciativa da CONTRATANTE, assegurados o contraditório e a ampla defesa, quando:</w:t>
      </w:r>
    </w:p>
    <w:p w14:paraId="426B9BA9">
      <w:pPr>
        <w:spacing w:before="288" w:beforeLines="120" w:after="288" w:afterLines="120" w:line="288" w:lineRule="auto"/>
        <w:rPr>
          <w:sz w:val="24"/>
          <w:szCs w:val="24"/>
        </w:rPr>
      </w:pPr>
      <w:r>
        <w:rPr>
          <w:b/>
          <w:sz w:val="24"/>
          <w:szCs w:val="24"/>
        </w:rPr>
        <w:t>8.7.1.</w:t>
      </w:r>
      <w:r>
        <w:rPr>
          <w:sz w:val="24"/>
          <w:szCs w:val="24"/>
        </w:rPr>
        <w:t xml:space="preserve"> não aceitar reduzir o preço registrado, na hipótese de este se tornar superior àqueles praticados no mercado;</w:t>
      </w:r>
    </w:p>
    <w:p w14:paraId="5CCD9B27">
      <w:pPr>
        <w:spacing w:before="288" w:beforeLines="120" w:after="288" w:afterLines="120" w:line="288" w:lineRule="auto"/>
        <w:rPr>
          <w:sz w:val="24"/>
          <w:szCs w:val="24"/>
        </w:rPr>
      </w:pPr>
      <w:r>
        <w:rPr>
          <w:b/>
          <w:sz w:val="24"/>
          <w:szCs w:val="24"/>
        </w:rPr>
        <w:t>8.7.2.</w:t>
      </w:r>
      <w:r>
        <w:rPr>
          <w:sz w:val="24"/>
          <w:szCs w:val="24"/>
        </w:rPr>
        <w:t xml:space="preserve"> perder qualquer condição de habilitação ou qualificação técnica exigida no processo licitatório;</w:t>
      </w:r>
    </w:p>
    <w:p w14:paraId="56C60CC5">
      <w:pPr>
        <w:spacing w:before="288" w:beforeLines="120" w:after="288" w:afterLines="120" w:line="288" w:lineRule="auto"/>
        <w:rPr>
          <w:sz w:val="24"/>
          <w:szCs w:val="24"/>
        </w:rPr>
      </w:pPr>
      <w:r>
        <w:rPr>
          <w:b/>
          <w:sz w:val="24"/>
          <w:szCs w:val="24"/>
        </w:rPr>
        <w:t>8.7.3</w:t>
      </w:r>
      <w:r>
        <w:rPr>
          <w:sz w:val="24"/>
          <w:szCs w:val="24"/>
        </w:rPr>
        <w:t>. por razões de interesse público, devidamente motivadas e justificadas;</w:t>
      </w:r>
    </w:p>
    <w:p w14:paraId="06E4C719">
      <w:pPr>
        <w:spacing w:before="288" w:beforeLines="120" w:after="288" w:afterLines="120" w:line="288" w:lineRule="auto"/>
        <w:rPr>
          <w:sz w:val="24"/>
          <w:szCs w:val="24"/>
        </w:rPr>
      </w:pPr>
      <w:r>
        <w:rPr>
          <w:b/>
          <w:sz w:val="24"/>
          <w:szCs w:val="24"/>
        </w:rPr>
        <w:t>8.7.4.</w:t>
      </w:r>
      <w:r>
        <w:rPr>
          <w:sz w:val="24"/>
          <w:szCs w:val="24"/>
        </w:rPr>
        <w:t xml:space="preserve"> não cumprir as obrigações de acordo com a Ata de Registro de Preços;</w:t>
      </w:r>
    </w:p>
    <w:p w14:paraId="4E9FDE53">
      <w:pPr>
        <w:spacing w:before="288" w:beforeLines="120" w:after="288" w:afterLines="120" w:line="288" w:lineRule="auto"/>
        <w:rPr>
          <w:sz w:val="24"/>
          <w:szCs w:val="24"/>
        </w:rPr>
      </w:pPr>
      <w:r>
        <w:rPr>
          <w:b/>
          <w:sz w:val="24"/>
          <w:szCs w:val="24"/>
        </w:rPr>
        <w:t>8.7.5.</w:t>
      </w:r>
      <w:r>
        <w:rPr>
          <w:sz w:val="24"/>
          <w:szCs w:val="24"/>
        </w:rPr>
        <w:t xml:space="preserve"> caracterizada qualquer hipótese de inexecução total ou parcial das condições estabelecidas na Ata de Registro de Preços ou nas Notas de Empenho.</w:t>
      </w:r>
    </w:p>
    <w:p w14:paraId="6BE7E304">
      <w:pPr>
        <w:spacing w:before="288" w:beforeLines="120" w:after="288" w:afterLines="120" w:line="288" w:lineRule="auto"/>
        <w:rPr>
          <w:b/>
          <w:sz w:val="24"/>
          <w:szCs w:val="24"/>
        </w:rPr>
      </w:pPr>
      <w:r>
        <w:rPr>
          <w:b/>
          <w:sz w:val="24"/>
          <w:szCs w:val="24"/>
        </w:rPr>
        <w:t>Habilitação</w:t>
      </w:r>
    </w:p>
    <w:p w14:paraId="6FD5F0CF">
      <w:pPr>
        <w:spacing w:before="288" w:beforeLines="120" w:after="288" w:afterLines="120" w:line="288" w:lineRule="auto"/>
        <w:rPr>
          <w:sz w:val="24"/>
          <w:szCs w:val="24"/>
        </w:rPr>
      </w:pPr>
      <w:r>
        <w:rPr>
          <w:b/>
          <w:sz w:val="24"/>
          <w:szCs w:val="24"/>
        </w:rPr>
        <w:t>8.8</w:t>
      </w:r>
      <w:r>
        <w:rPr>
          <w:sz w:val="24"/>
          <w:szCs w:val="24"/>
        </w:rPr>
        <w:t xml:space="preserve"> - Para fins de contratação, deverá o fornecedor comprovar os seguintes requisitos de habilitação:</w:t>
      </w:r>
    </w:p>
    <w:p w14:paraId="1AC67D5D">
      <w:pPr>
        <w:spacing w:before="288" w:beforeLines="120" w:after="288" w:afterLines="120" w:line="288" w:lineRule="auto"/>
        <w:rPr>
          <w:b/>
          <w:sz w:val="24"/>
          <w:szCs w:val="24"/>
        </w:rPr>
      </w:pPr>
      <w:r>
        <w:rPr>
          <w:b/>
          <w:sz w:val="24"/>
          <w:szCs w:val="24"/>
        </w:rPr>
        <w:t>Habilitação Jurídica (art. 66, Lei nº 14.133/2021)</w:t>
      </w:r>
    </w:p>
    <w:p w14:paraId="3CFA2249">
      <w:pPr>
        <w:spacing w:before="288" w:beforeLines="120" w:after="288" w:afterLines="120" w:line="288" w:lineRule="auto"/>
        <w:rPr>
          <w:sz w:val="24"/>
          <w:szCs w:val="24"/>
        </w:rPr>
      </w:pPr>
      <w:r>
        <w:rPr>
          <w:b/>
          <w:sz w:val="24"/>
          <w:szCs w:val="24"/>
        </w:rPr>
        <w:t>8.9 -</w:t>
      </w:r>
      <w:r>
        <w:rPr>
          <w:sz w:val="24"/>
          <w:szCs w:val="24"/>
        </w:rPr>
        <w:t xml:space="preserve"> Pessoa física: cédula de identidade (RG) ou documento equivalente que, por força de lei, tenha validade para fins de identificação em todo o território nacional;</w:t>
      </w:r>
    </w:p>
    <w:p w14:paraId="63E372F9">
      <w:pPr>
        <w:spacing w:before="288" w:beforeLines="120" w:after="288" w:afterLines="120" w:line="288" w:lineRule="auto"/>
        <w:rPr>
          <w:sz w:val="24"/>
          <w:szCs w:val="24"/>
        </w:rPr>
      </w:pPr>
      <w:r>
        <w:rPr>
          <w:b/>
          <w:sz w:val="24"/>
          <w:szCs w:val="24"/>
        </w:rPr>
        <w:t>8.10 -</w:t>
      </w:r>
      <w:r>
        <w:rPr>
          <w:sz w:val="24"/>
          <w:szCs w:val="24"/>
        </w:rPr>
        <w:t xml:space="preserve"> Empresário individual: inscrição no Registro Público de Empresas Mercantis, a cargo da Junta Comercial da respectiva sede;</w:t>
      </w:r>
    </w:p>
    <w:p w14:paraId="645BC4BC">
      <w:pPr>
        <w:spacing w:before="288" w:beforeLines="120" w:after="288" w:afterLines="120" w:line="288" w:lineRule="auto"/>
        <w:rPr>
          <w:sz w:val="24"/>
          <w:szCs w:val="24"/>
        </w:rPr>
      </w:pPr>
      <w:r>
        <w:rPr>
          <w:b/>
          <w:sz w:val="24"/>
          <w:szCs w:val="24"/>
        </w:rPr>
        <w:t>8.11 -</w:t>
      </w:r>
      <w:r>
        <w:rPr>
          <w:sz w:val="24"/>
          <w:szCs w:val="24"/>
        </w:rPr>
        <w:t xml:space="preserve"> Microempreendedor Individual - MEI: Certificado da Condição de Microempreendedor Individual - CCMEI, cuja aceitação ficará condicionada à verificação da autenticidade no sítio www.portaldoempreendedor.gov.br;</w:t>
      </w:r>
    </w:p>
    <w:p w14:paraId="1ADFFE8E">
      <w:pPr>
        <w:spacing w:before="288" w:beforeLines="120" w:after="288" w:afterLines="120" w:line="288" w:lineRule="auto"/>
        <w:rPr>
          <w:sz w:val="24"/>
          <w:szCs w:val="24"/>
        </w:rPr>
      </w:pPr>
      <w:r>
        <w:rPr>
          <w:b/>
          <w:sz w:val="24"/>
          <w:szCs w:val="24"/>
        </w:rPr>
        <w:t>8.12 -</w:t>
      </w:r>
      <w:r>
        <w:rPr>
          <w:sz w:val="24"/>
          <w:szCs w:val="24"/>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DC033D6">
      <w:pPr>
        <w:spacing w:before="288" w:beforeLines="120" w:after="288" w:afterLines="120" w:line="288" w:lineRule="auto"/>
        <w:rPr>
          <w:sz w:val="24"/>
          <w:szCs w:val="24"/>
        </w:rPr>
      </w:pPr>
      <w:r>
        <w:rPr>
          <w:b/>
          <w:sz w:val="24"/>
          <w:szCs w:val="24"/>
        </w:rPr>
        <w:t>8.13 -</w:t>
      </w:r>
      <w:r>
        <w:rPr>
          <w:sz w:val="24"/>
          <w:szCs w:val="24"/>
        </w:rPr>
        <w:t xml:space="preserve"> Sociedade empresária estrangeira com atuação permanente no País: decreto de autorização para funcionamento no Brasil;</w:t>
      </w:r>
    </w:p>
    <w:p w14:paraId="7F1A2705">
      <w:pPr>
        <w:spacing w:before="288" w:beforeLines="120" w:after="288" w:afterLines="120" w:line="288" w:lineRule="auto"/>
        <w:rPr>
          <w:sz w:val="24"/>
          <w:szCs w:val="24"/>
        </w:rPr>
      </w:pPr>
      <w:r>
        <w:rPr>
          <w:b/>
          <w:sz w:val="24"/>
          <w:szCs w:val="24"/>
        </w:rPr>
        <w:t>8.14 -</w:t>
      </w:r>
      <w:r>
        <w:rPr>
          <w:sz w:val="24"/>
          <w:szCs w:val="24"/>
        </w:rPr>
        <w:t xml:space="preserve"> Sociedade simples: inscrição do ato constitutivo no Registro Civil de Pessoas Jurídicas do local de sua sede, acompanhada de documento comprobatório de seus administradores;</w:t>
      </w:r>
    </w:p>
    <w:p w14:paraId="3169AFAE">
      <w:pPr>
        <w:spacing w:before="288" w:beforeLines="120" w:after="288" w:afterLines="120" w:line="288" w:lineRule="auto"/>
        <w:rPr>
          <w:sz w:val="24"/>
          <w:szCs w:val="24"/>
        </w:rPr>
      </w:pPr>
      <w:r>
        <w:rPr>
          <w:b/>
          <w:sz w:val="24"/>
          <w:szCs w:val="24"/>
        </w:rPr>
        <w:t>8.15 -</w:t>
      </w:r>
      <w:r>
        <w:rPr>
          <w:sz w:val="24"/>
          <w:szCs w:val="24"/>
        </w:rPr>
        <w:t xml:space="preserve"> Filial, sucursal ou agência de sociedade simples ou empresária - inscrição do ato constitutivo da filial, sucursal ou agência da sociedade simples ou empresária, respectivamente, no Registro Civil das Pessoas Jurídicas ou no Registro Público de Empresas Mercantis onde tem sede a matriz;</w:t>
      </w:r>
    </w:p>
    <w:p w14:paraId="12A0BD84">
      <w:pPr>
        <w:spacing w:before="288" w:beforeLines="120" w:after="288" w:afterLines="120" w:line="288" w:lineRule="auto"/>
        <w:rPr>
          <w:sz w:val="24"/>
          <w:szCs w:val="24"/>
        </w:rPr>
      </w:pPr>
      <w:r>
        <w:rPr>
          <w:b/>
          <w:sz w:val="24"/>
          <w:szCs w:val="24"/>
        </w:rPr>
        <w:t>8.16 -</w:t>
      </w:r>
      <w:r>
        <w:rPr>
          <w:sz w:val="24"/>
          <w:szCs w:val="24"/>
        </w:rPr>
        <w:t xml:space="preserve"> Os documentos apresentados deverão estar acompanhados de todas as alterações ou da consolidação respectiva.</w:t>
      </w:r>
    </w:p>
    <w:p w14:paraId="1EA14763">
      <w:pPr>
        <w:spacing w:before="288" w:beforeLines="120" w:after="288" w:afterLines="120" w:line="288" w:lineRule="auto"/>
        <w:rPr>
          <w:b/>
          <w:sz w:val="24"/>
          <w:szCs w:val="24"/>
        </w:rPr>
      </w:pPr>
      <w:r>
        <w:rPr>
          <w:b/>
          <w:sz w:val="24"/>
          <w:szCs w:val="24"/>
        </w:rPr>
        <w:t>Habilitações fiscal, social e trabalhista (art. 68, Lei nº 14.133/2021):</w:t>
      </w:r>
    </w:p>
    <w:p w14:paraId="3B79AB3E">
      <w:pPr>
        <w:spacing w:before="288" w:beforeLines="120" w:after="288" w:afterLines="120" w:line="288" w:lineRule="auto"/>
        <w:rPr>
          <w:sz w:val="24"/>
          <w:szCs w:val="24"/>
        </w:rPr>
      </w:pPr>
      <w:r>
        <w:rPr>
          <w:b/>
          <w:sz w:val="24"/>
          <w:szCs w:val="24"/>
        </w:rPr>
        <w:t xml:space="preserve">8.17 - </w:t>
      </w:r>
      <w:r>
        <w:rPr>
          <w:sz w:val="24"/>
          <w:szCs w:val="24"/>
        </w:rPr>
        <w:t>Prova de inscrição no Cadastro de Pessoas Físicas (CPF), quando couber;</w:t>
      </w:r>
    </w:p>
    <w:p w14:paraId="45AB3CEB">
      <w:pPr>
        <w:spacing w:before="288" w:beforeLines="120" w:after="288" w:afterLines="120" w:line="288" w:lineRule="auto"/>
        <w:rPr>
          <w:sz w:val="24"/>
          <w:szCs w:val="24"/>
        </w:rPr>
      </w:pPr>
      <w:r>
        <w:rPr>
          <w:b/>
          <w:sz w:val="24"/>
          <w:szCs w:val="24"/>
        </w:rPr>
        <w:t>8.18 -</w:t>
      </w:r>
      <w:r>
        <w:rPr>
          <w:sz w:val="24"/>
          <w:szCs w:val="24"/>
        </w:rPr>
        <w:t xml:space="preserve"> Prova de inscrição no Cadastro Nacional da Pessoa Jurídica (CNPJ), quando cabível;</w:t>
      </w:r>
    </w:p>
    <w:p w14:paraId="66131757">
      <w:pPr>
        <w:spacing w:before="288" w:beforeLines="120" w:after="288" w:afterLines="120" w:line="288" w:lineRule="auto"/>
        <w:rPr>
          <w:sz w:val="24"/>
          <w:szCs w:val="24"/>
        </w:rPr>
      </w:pPr>
      <w:r>
        <w:rPr>
          <w:b/>
          <w:sz w:val="24"/>
          <w:szCs w:val="24"/>
        </w:rPr>
        <w:t>8.19 -</w:t>
      </w:r>
      <w:r>
        <w:rPr>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573578D">
      <w:pPr>
        <w:spacing w:before="288" w:beforeLines="120" w:after="288" w:afterLines="120" w:line="288" w:lineRule="auto"/>
        <w:rPr>
          <w:sz w:val="24"/>
          <w:szCs w:val="24"/>
        </w:rPr>
      </w:pPr>
      <w:r>
        <w:rPr>
          <w:b/>
          <w:sz w:val="24"/>
          <w:szCs w:val="24"/>
        </w:rPr>
        <w:t>8.20 -</w:t>
      </w:r>
      <w:r>
        <w:rPr>
          <w:sz w:val="24"/>
          <w:szCs w:val="24"/>
        </w:rPr>
        <w:t xml:space="preserve"> Prova de regularidade com o Fundo de Garantia do Tempo de Serviço (FGTS);</w:t>
      </w:r>
    </w:p>
    <w:p w14:paraId="1B0977C2">
      <w:pPr>
        <w:spacing w:before="288" w:beforeLines="120" w:after="288" w:afterLines="120" w:line="288" w:lineRule="auto"/>
        <w:rPr>
          <w:sz w:val="24"/>
          <w:szCs w:val="24"/>
        </w:rPr>
      </w:pPr>
      <w:r>
        <w:rPr>
          <w:b/>
          <w:sz w:val="24"/>
          <w:szCs w:val="24"/>
        </w:rPr>
        <w:t>8.21 -</w:t>
      </w:r>
      <w:r>
        <w:rPr>
          <w:sz w:val="24"/>
          <w:szCs w:val="24"/>
        </w:rPr>
        <w:t xml:space="preserve"> Declaração de que não emprega menor de 18 (dezoito) anos em trabalho noturno, perigoso ou insalubre e não emprega menor de 16 (dezesseis) anos, salvo menor, a partir de 14 anos, na condição de aprendiz, nos termos do art. 7°, XXXIII, da Constituição;</w:t>
      </w:r>
    </w:p>
    <w:p w14:paraId="112CC400">
      <w:pPr>
        <w:spacing w:before="288" w:beforeLines="120" w:after="288" w:afterLines="120" w:line="288" w:lineRule="auto"/>
        <w:rPr>
          <w:sz w:val="24"/>
          <w:szCs w:val="24"/>
        </w:rPr>
      </w:pPr>
      <w:r>
        <w:rPr>
          <w:b/>
          <w:sz w:val="24"/>
          <w:szCs w:val="24"/>
        </w:rPr>
        <w:t>8.22 -</w:t>
      </w:r>
      <w:r>
        <w:rPr>
          <w:sz w:val="24"/>
          <w:szCs w:val="24"/>
        </w:rPr>
        <w:t xml:space="preserve"> Prova de inexistência de débitos inadimplidos perante a Justiça do Trabalho, mediante a apresentação de certidão negativa ou positiva com efeito de negativa, nos termos do Título VII- A da Consolidação das Leis do Trabalho, aprovada pelo Decreto-Lei nº 5.452, de 1º de maio de 1943;</w:t>
      </w:r>
    </w:p>
    <w:p w14:paraId="5B0F96BA">
      <w:pPr>
        <w:spacing w:before="288" w:beforeLines="120" w:after="288" w:afterLines="120" w:line="288" w:lineRule="auto"/>
        <w:rPr>
          <w:sz w:val="24"/>
          <w:szCs w:val="24"/>
        </w:rPr>
      </w:pPr>
      <w:r>
        <w:rPr>
          <w:b/>
          <w:sz w:val="24"/>
          <w:szCs w:val="24"/>
        </w:rPr>
        <w:t>8.23 -</w:t>
      </w:r>
      <w:r>
        <w:rPr>
          <w:sz w:val="24"/>
          <w:szCs w:val="24"/>
        </w:rPr>
        <w:t xml:space="preserve"> Prova de inscrição no cadastro de contribuintes estadual, se houver, relativo ao domicílio ou sede do fornecedor, pertinente ao seu ramo de atividade e compatível com o objeto contratual;</w:t>
      </w:r>
    </w:p>
    <w:p w14:paraId="21B6934A">
      <w:pPr>
        <w:spacing w:before="288" w:beforeLines="120" w:after="288" w:afterLines="120" w:line="288" w:lineRule="auto"/>
        <w:rPr>
          <w:sz w:val="24"/>
          <w:szCs w:val="24"/>
        </w:rPr>
      </w:pPr>
      <w:r>
        <w:rPr>
          <w:b/>
          <w:sz w:val="24"/>
          <w:szCs w:val="24"/>
        </w:rPr>
        <w:t>8.24 -</w:t>
      </w:r>
      <w:r>
        <w:rPr>
          <w:sz w:val="24"/>
          <w:szCs w:val="24"/>
        </w:rPr>
        <w:t xml:space="preserve"> 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109B10A6">
      <w:pPr>
        <w:spacing w:before="288" w:beforeLines="120" w:after="288" w:afterLines="120" w:line="288" w:lineRule="auto"/>
        <w:rPr>
          <w:sz w:val="24"/>
          <w:szCs w:val="24"/>
        </w:rPr>
      </w:pPr>
      <w:r>
        <w:rPr>
          <w:b/>
          <w:sz w:val="24"/>
          <w:szCs w:val="24"/>
        </w:rPr>
        <w:t>8.25 -</w:t>
      </w:r>
      <w:r>
        <w:rPr>
          <w:sz w:val="24"/>
          <w:szCs w:val="24"/>
        </w:rPr>
        <w:t xml:space="preserve"> Prova de regularidade com a Fazenda Estadual do domicílio ou sede do fornecedor, relativa à atividade em cujo exercício contrata ou concorre;</w:t>
      </w:r>
    </w:p>
    <w:p w14:paraId="52FF1718">
      <w:pPr>
        <w:spacing w:before="288" w:beforeLines="120" w:after="288" w:afterLines="120" w:line="288" w:lineRule="auto"/>
        <w:rPr>
          <w:sz w:val="24"/>
          <w:szCs w:val="24"/>
        </w:rPr>
      </w:pPr>
      <w:r>
        <w:rPr>
          <w:b/>
          <w:sz w:val="24"/>
          <w:szCs w:val="24"/>
        </w:rPr>
        <w:t>8.26 -</w:t>
      </w:r>
      <w:r>
        <w:rPr>
          <w:sz w:val="24"/>
          <w:szCs w:val="24"/>
        </w:rPr>
        <w:t xml:space="preserve"> Caso o fornecedor seja considerado isento dos tributos estaduais relacionados ao objeto, deverá comprovar tal condição mediante a apresentação de certidão ou declaração da Fazenda respectiva do seu domicílio ou sede, ou por meio de outro documento equivalente, na forma da respectiva legislação de regência.</w:t>
      </w:r>
    </w:p>
    <w:p w14:paraId="4A9E4C74">
      <w:pPr>
        <w:spacing w:before="288" w:beforeLines="120" w:after="288" w:afterLines="120" w:line="288" w:lineRule="auto"/>
        <w:rPr>
          <w:b/>
          <w:sz w:val="24"/>
          <w:szCs w:val="24"/>
        </w:rPr>
      </w:pPr>
      <w:r>
        <w:rPr>
          <w:b/>
          <w:sz w:val="24"/>
          <w:szCs w:val="24"/>
        </w:rPr>
        <w:t>Habilitação técnica (art. 67, Lei nº 14.133/2021)</w:t>
      </w:r>
    </w:p>
    <w:p w14:paraId="64C2330F">
      <w:pPr>
        <w:spacing w:before="288" w:beforeLines="120" w:after="288" w:afterLines="120" w:line="288" w:lineRule="auto"/>
        <w:rPr>
          <w:sz w:val="24"/>
          <w:szCs w:val="24"/>
        </w:rPr>
      </w:pPr>
      <w:r>
        <w:rPr>
          <w:b/>
          <w:sz w:val="24"/>
          <w:szCs w:val="24"/>
        </w:rPr>
        <w:t>8.27 -</w:t>
      </w:r>
      <w:r>
        <w:rPr>
          <w:sz w:val="24"/>
          <w:szCs w:val="24"/>
        </w:rPr>
        <w:t xml:space="preserve"> Os critérios de habilitação técnica a serem atendidos pelo fornecedor serão:</w:t>
      </w:r>
    </w:p>
    <w:p w14:paraId="7B9490C0">
      <w:pPr>
        <w:spacing w:before="288" w:beforeLines="120" w:after="288" w:afterLines="120" w:line="288" w:lineRule="auto"/>
        <w:rPr>
          <w:sz w:val="24"/>
          <w:szCs w:val="24"/>
        </w:rPr>
      </w:pPr>
      <w:r>
        <w:rPr>
          <w:sz w:val="24"/>
          <w:szCs w:val="24"/>
        </w:rPr>
        <w:t>a) 01 (um) atestado, no mínimo, emitido por pessoa jurídica de direito público ou privado, em nome da Licitante, que comprove a aptidão para desempenho de atividade pertinente e compatível em características e quantidades com o objeto deste Termo de Referência, de forma satisfatória, demonstrando que a Licitante presta ou prestou serviços de natureza similar;</w:t>
      </w:r>
    </w:p>
    <w:p w14:paraId="679BE283">
      <w:pPr>
        <w:spacing w:before="288" w:beforeLines="120" w:after="288" w:afterLines="120" w:line="288" w:lineRule="auto"/>
        <w:rPr>
          <w:sz w:val="24"/>
          <w:szCs w:val="24"/>
        </w:rPr>
      </w:pPr>
      <w:r>
        <w:rPr>
          <w:sz w:val="24"/>
          <w:szCs w:val="24"/>
        </w:rPr>
        <w:t>A fim de comprovar os requisitos acima, a Licitante, caso julgue necessário, poderá encaminhar, juntamente com o atestado, cópias de contratos, Ordens de Serviços (devidamente assinadas), Notas de Empenho, Notas Fiscais/Faturas ou outros documentos equivalentes.</w:t>
      </w:r>
    </w:p>
    <w:p w14:paraId="16C3FEBC">
      <w:pPr>
        <w:spacing w:before="288" w:beforeLines="120" w:after="288" w:afterLines="120" w:line="288" w:lineRule="auto"/>
        <w:rPr>
          <w:b/>
          <w:sz w:val="24"/>
          <w:szCs w:val="24"/>
        </w:rPr>
      </w:pPr>
      <w:r>
        <w:rPr>
          <w:b/>
          <w:sz w:val="24"/>
          <w:szCs w:val="24"/>
        </w:rPr>
        <w:t>9. DA PARTICIPAÇÃO DE MICROEMPRESAS E EMPRESAS DE PEQUENO PORTE</w:t>
      </w:r>
    </w:p>
    <w:p w14:paraId="493BB04B">
      <w:pPr>
        <w:spacing w:before="288" w:beforeLines="120" w:after="288" w:afterLines="120" w:line="288" w:lineRule="auto"/>
        <w:rPr>
          <w:sz w:val="24"/>
          <w:szCs w:val="24"/>
        </w:rPr>
      </w:pPr>
      <w:r>
        <w:rPr>
          <w:b/>
          <w:sz w:val="24"/>
          <w:szCs w:val="24"/>
        </w:rPr>
        <w:t>9.1 -</w:t>
      </w:r>
      <w:r>
        <w:rPr>
          <w:sz w:val="24"/>
          <w:szCs w:val="24"/>
        </w:rPr>
        <w:t xml:space="preserve"> Conforme dispõe a Lei Complementar nº 123/2006, deverá ser concedido tratamento diferenciado e simplificado as Microempresas e Empresas de Pequeno Porte – ME/EPP, nos itens cotados até R$ 80.000,00 (oitenta mil reais), objetivando a promoção do desenvolvimento econômico e social no âmbito municipal e regional, a ampliação da eficiência das políticas públicas e o incentivo à inovação tecnológica. Entretanto, tendo em vista o que estabelece os arts. 47 a 49 da referida Lei, os itens cotados acima de R$ 80.000,00 (oitenta mil reais) terão percentual destinado de 20% (vinte por cento), para a participação de ME e/ou EPP’s.</w:t>
      </w:r>
    </w:p>
    <w:p w14:paraId="21441445">
      <w:pPr>
        <w:pStyle w:val="101"/>
        <w:spacing w:before="0" w:line="360" w:lineRule="auto"/>
        <w:rPr>
          <w:rFonts w:ascii="Times New Roman" w:hAnsi="Times New Roman" w:cs="Times New Roman"/>
          <w:sz w:val="24"/>
          <w:szCs w:val="24"/>
        </w:rPr>
      </w:pPr>
      <w:r>
        <w:rPr>
          <w:rFonts w:ascii="Times New Roman" w:hAnsi="Times New Roman" w:cs="Times New Roman"/>
          <w:sz w:val="24"/>
          <w:szCs w:val="24"/>
        </w:rPr>
        <w:t>10. DA PARTICIPAÇÃO DAS EMPRESAS REUNIDAS EM CONSÓRCIO</w:t>
      </w:r>
    </w:p>
    <w:p w14:paraId="4BCA61B9">
      <w:pPr>
        <w:pStyle w:val="101"/>
        <w:spacing w:before="0" w:line="360" w:lineRule="auto"/>
        <w:ind w:left="0" w:firstLine="0"/>
        <w:rPr>
          <w:rFonts w:ascii="Times New Roman" w:hAnsi="Times New Roman" w:cs="Times New Roman" w:eastAsiaTheme="minorHAnsi"/>
          <w:b w:val="0"/>
          <w:bCs w:val="0"/>
          <w:sz w:val="24"/>
          <w:szCs w:val="24"/>
          <w:lang w:eastAsia="en-US"/>
        </w:rPr>
      </w:pPr>
      <w:r>
        <w:rPr>
          <w:rFonts w:ascii="Times New Roman" w:hAnsi="Times New Roman" w:cs="Times New Roman"/>
          <w:sz w:val="24"/>
          <w:szCs w:val="24"/>
        </w:rPr>
        <w:t>10.1</w:t>
      </w:r>
      <w:r>
        <w:rPr>
          <w:rFonts w:ascii="Times New Roman" w:hAnsi="Times New Roman" w:cs="Times New Roman"/>
          <w:b w:val="0"/>
          <w:bCs w:val="0"/>
          <w:sz w:val="24"/>
          <w:szCs w:val="24"/>
        </w:rPr>
        <w:t xml:space="preserve"> -</w:t>
      </w:r>
      <w:r>
        <w:rPr>
          <w:rFonts w:ascii="Times New Roman" w:hAnsi="Times New Roman" w:cs="Times New Roman"/>
          <w:sz w:val="24"/>
          <w:szCs w:val="24"/>
        </w:rPr>
        <w:t xml:space="preserve"> </w:t>
      </w:r>
      <w:r>
        <w:rPr>
          <w:rFonts w:ascii="Times New Roman" w:hAnsi="Times New Roman" w:cs="Times New Roman" w:eastAsiaTheme="minorHAnsi"/>
          <w:b w:val="0"/>
          <w:bCs w:val="0"/>
          <w:sz w:val="24"/>
          <w:szCs w:val="24"/>
          <w:lang w:eastAsia="en-US"/>
        </w:rPr>
        <w:t>Será vedada a participação de empresas reunidas em consórcio, não havendo elementos que justifiquem tal participação no objetivo em apreço. O objeto em questão não se reveste de alta complexidade, já que se trata de simples aquisição de veículos automotores.</w:t>
      </w:r>
    </w:p>
    <w:p w14:paraId="2E13DB10">
      <w:pPr>
        <w:rPr>
          <w:sz w:val="24"/>
          <w:szCs w:val="24"/>
        </w:rPr>
      </w:pPr>
    </w:p>
    <w:p w14:paraId="4AC7BB05">
      <w:pPr>
        <w:pStyle w:val="101"/>
        <w:spacing w:before="120" w:after="120" w:line="360" w:lineRule="auto"/>
        <w:rPr>
          <w:rFonts w:ascii="Times New Roman" w:hAnsi="Times New Roman" w:cs="Times New Roman"/>
          <w:sz w:val="24"/>
          <w:szCs w:val="24"/>
        </w:rPr>
      </w:pPr>
      <w:r>
        <w:rPr>
          <w:rFonts w:ascii="Times New Roman" w:hAnsi="Times New Roman" w:cs="Times New Roman"/>
          <w:sz w:val="24"/>
          <w:szCs w:val="24"/>
        </w:rPr>
        <w:t>11. DA PARTICIPAÇÃO DAS COOPERATIVAS</w:t>
      </w:r>
    </w:p>
    <w:p w14:paraId="6B5E9039">
      <w:pPr>
        <w:pStyle w:val="101"/>
        <w:spacing w:before="120" w:after="120" w:line="276" w:lineRule="auto"/>
        <w:ind w:left="0" w:firstLine="0"/>
        <w:rPr>
          <w:rFonts w:ascii="Times New Roman" w:hAnsi="Times New Roman" w:cs="Times New Roman" w:eastAsiaTheme="minorHAnsi"/>
          <w:b w:val="0"/>
          <w:bCs w:val="0"/>
          <w:sz w:val="24"/>
          <w:szCs w:val="24"/>
          <w:lang w:eastAsia="en-US"/>
        </w:rPr>
      </w:pPr>
      <w:r>
        <w:rPr>
          <w:rFonts w:ascii="Times New Roman" w:hAnsi="Times New Roman" w:cs="Times New Roman" w:eastAsiaTheme="minorHAnsi"/>
          <w:sz w:val="24"/>
          <w:szCs w:val="24"/>
          <w:lang w:eastAsia="en-US"/>
        </w:rPr>
        <w:t>11.1</w:t>
      </w:r>
      <w:r>
        <w:rPr>
          <w:rFonts w:ascii="Times New Roman" w:hAnsi="Times New Roman" w:cs="Times New Roman" w:eastAsiaTheme="minorHAnsi"/>
          <w:b w:val="0"/>
          <w:bCs w:val="0"/>
          <w:sz w:val="24"/>
          <w:szCs w:val="24"/>
          <w:lang w:eastAsia="en-US"/>
        </w:rPr>
        <w:t xml:space="preserve"> - Será vedada a participação de Sociedades Cooperativas, considerando a vedação contida no </w:t>
      </w:r>
      <w:bookmarkStart w:id="39" w:name="_Hlk134172373"/>
      <w:r>
        <w:rPr>
          <w:rFonts w:ascii="Times New Roman" w:hAnsi="Times New Roman" w:cs="Times New Roman" w:eastAsiaTheme="minorHAnsi"/>
          <w:b w:val="0"/>
          <w:bCs w:val="0"/>
          <w:sz w:val="24"/>
          <w:szCs w:val="24"/>
          <w:lang w:eastAsia="en-US"/>
        </w:rPr>
        <w:t>art. 10 da Instrução Normativa SEGES/MP n.º 5 de 26 de maio de 2017</w:t>
      </w:r>
      <w:bookmarkEnd w:id="39"/>
      <w:r>
        <w:rPr>
          <w:rFonts w:ascii="Times New Roman" w:hAnsi="Times New Roman" w:cs="Times New Roman" w:eastAsiaTheme="minorHAnsi"/>
          <w:b w:val="0"/>
          <w:bCs w:val="0"/>
          <w:sz w:val="24"/>
          <w:szCs w:val="24"/>
          <w:lang w:eastAsia="en-US"/>
        </w:rPr>
        <w:t xml:space="preserve"> c/c Instrução Normativo SEGES/MP n.º 98, de 26 de dezembro de 2022.</w:t>
      </w:r>
    </w:p>
    <w:p w14:paraId="2924CE2E">
      <w:pPr>
        <w:rPr>
          <w:rFonts w:eastAsiaTheme="minorHAnsi"/>
          <w:lang w:eastAsia="en-US"/>
        </w:rPr>
      </w:pPr>
    </w:p>
    <w:p w14:paraId="25CFB9A5">
      <w:pPr>
        <w:keepNext/>
        <w:keepLines/>
        <w:tabs>
          <w:tab w:val="left" w:pos="567"/>
        </w:tabs>
        <w:spacing w:before="120" w:after="120" w:line="360" w:lineRule="auto"/>
        <w:jc w:val="both"/>
        <w:outlineLvl w:val="0"/>
        <w:rPr>
          <w:b/>
          <w:bCs/>
          <w:sz w:val="24"/>
          <w:szCs w:val="24"/>
        </w:rPr>
      </w:pPr>
      <w:bookmarkStart w:id="40" w:name="_Hlk132114174"/>
      <w:r>
        <w:rPr>
          <w:b/>
          <w:bCs/>
          <w:sz w:val="24"/>
          <w:szCs w:val="24"/>
        </w:rPr>
        <w:t>12. DAS OBRIGAÇÕES DAS PARTES</w:t>
      </w:r>
      <w:bookmarkEnd w:id="40"/>
    </w:p>
    <w:p w14:paraId="2D11A7D0">
      <w:pPr>
        <w:keepNext/>
        <w:jc w:val="both"/>
        <w:outlineLvl w:val="1"/>
        <w:rPr>
          <w:b/>
          <w:bCs/>
          <w:sz w:val="24"/>
          <w:szCs w:val="24"/>
        </w:rPr>
      </w:pPr>
      <w:r>
        <w:rPr>
          <w:b/>
          <w:bCs/>
          <w:sz w:val="24"/>
          <w:szCs w:val="24"/>
        </w:rPr>
        <w:t>DAS OBRIGAÇÕES DA CONTRATANTE</w:t>
      </w:r>
    </w:p>
    <w:p w14:paraId="03D8D08F">
      <w:pPr>
        <w:keepNext/>
        <w:jc w:val="both"/>
        <w:outlineLvl w:val="1"/>
        <w:rPr>
          <w:b/>
          <w:bCs/>
          <w:sz w:val="24"/>
          <w:szCs w:val="24"/>
        </w:rPr>
      </w:pPr>
    </w:p>
    <w:p w14:paraId="195FAB3C">
      <w:pPr>
        <w:jc w:val="both"/>
        <w:rPr>
          <w:sz w:val="24"/>
          <w:szCs w:val="24"/>
        </w:rPr>
      </w:pPr>
      <w:r>
        <w:rPr>
          <w:b/>
          <w:bCs/>
          <w:sz w:val="24"/>
          <w:szCs w:val="24"/>
        </w:rPr>
        <w:t>12.1</w:t>
      </w:r>
      <w:r>
        <w:rPr>
          <w:sz w:val="24"/>
          <w:szCs w:val="24"/>
        </w:rPr>
        <w:t xml:space="preserve"> - A Contratante obriga-se a:</w:t>
      </w:r>
    </w:p>
    <w:p w14:paraId="30A62C7D">
      <w:pPr>
        <w:jc w:val="both"/>
        <w:rPr>
          <w:sz w:val="24"/>
          <w:szCs w:val="24"/>
        </w:rPr>
      </w:pPr>
    </w:p>
    <w:p w14:paraId="0638DA04">
      <w:pPr>
        <w:numPr>
          <w:ilvl w:val="0"/>
          <w:numId w:val="6"/>
        </w:numPr>
        <w:spacing w:line="276" w:lineRule="auto"/>
        <w:jc w:val="both"/>
        <w:rPr>
          <w:sz w:val="24"/>
          <w:szCs w:val="24"/>
        </w:rPr>
      </w:pPr>
      <w:r>
        <w:rPr>
          <w:sz w:val="24"/>
          <w:szCs w:val="24"/>
        </w:rPr>
        <w:t>Atestar nas Notas Fiscais/Faturas e documentos de controle da Contratante o efetivo cumprimento das obrigações, objeto deste Contrato, dentro do prazo estabelecido no Edital;</w:t>
      </w:r>
    </w:p>
    <w:p w14:paraId="4E108E4A">
      <w:pPr>
        <w:numPr>
          <w:ilvl w:val="0"/>
          <w:numId w:val="6"/>
        </w:numPr>
        <w:spacing w:line="276" w:lineRule="auto"/>
        <w:jc w:val="both"/>
        <w:rPr>
          <w:sz w:val="24"/>
          <w:szCs w:val="24"/>
        </w:rPr>
      </w:pPr>
      <w:r>
        <w:rPr>
          <w:sz w:val="24"/>
          <w:szCs w:val="24"/>
        </w:rPr>
        <w:t>Acompanhar e fiscalizar a execução do objeto do Contrato, sob os aspectos quantitativo e qualitativo, através da Secretaria Municipal de Saúde, anotando em registro próprio as falhas detectadas e comunicando as ocorrências de quaisquer fatos que, a seu critério, exijam medidas corretivas por parte da Contratada, aplicando as sanções cabíveis, sempre que necessário;</w:t>
      </w:r>
    </w:p>
    <w:p w14:paraId="6C2F879E">
      <w:pPr>
        <w:numPr>
          <w:ilvl w:val="0"/>
          <w:numId w:val="6"/>
        </w:numPr>
        <w:spacing w:line="276" w:lineRule="auto"/>
        <w:jc w:val="both"/>
        <w:rPr>
          <w:sz w:val="24"/>
          <w:szCs w:val="24"/>
        </w:rPr>
      </w:pPr>
      <w:r>
        <w:rPr>
          <w:sz w:val="24"/>
          <w:szCs w:val="24"/>
        </w:rPr>
        <w:t>Notificar, por escrito, a Contratada da aplicação de qualquer sanção;</w:t>
      </w:r>
    </w:p>
    <w:p w14:paraId="7672B753">
      <w:pPr>
        <w:numPr>
          <w:ilvl w:val="0"/>
          <w:numId w:val="6"/>
        </w:numPr>
        <w:spacing w:line="276" w:lineRule="auto"/>
        <w:jc w:val="both"/>
        <w:rPr>
          <w:sz w:val="24"/>
          <w:szCs w:val="24"/>
        </w:rPr>
      </w:pPr>
      <w:r>
        <w:rPr>
          <w:sz w:val="24"/>
          <w:szCs w:val="24"/>
        </w:rPr>
        <w:t>Efetuar o pagamento a Contratada, de acordo com as condições de preço e prazo estabelecidas neste Contrato;</w:t>
      </w:r>
    </w:p>
    <w:p w14:paraId="29EFDFF8">
      <w:pPr>
        <w:numPr>
          <w:ilvl w:val="0"/>
          <w:numId w:val="6"/>
        </w:numPr>
        <w:spacing w:line="276" w:lineRule="auto"/>
        <w:jc w:val="both"/>
        <w:rPr>
          <w:sz w:val="24"/>
          <w:szCs w:val="24"/>
        </w:rPr>
      </w:pPr>
      <w:r>
        <w:rPr>
          <w:sz w:val="24"/>
          <w:szCs w:val="24"/>
        </w:rPr>
        <w:t>Prestar a Contratada toda e qualquer informação, por esta solicitada, necessária a perfeita execução do Contrato.</w:t>
      </w:r>
    </w:p>
    <w:p w14:paraId="726FE776">
      <w:pPr>
        <w:spacing w:line="276" w:lineRule="auto"/>
        <w:ind w:left="907"/>
        <w:jc w:val="both"/>
        <w:rPr>
          <w:sz w:val="24"/>
          <w:szCs w:val="24"/>
        </w:rPr>
      </w:pPr>
    </w:p>
    <w:p w14:paraId="4A0F86D0">
      <w:pPr>
        <w:spacing w:line="276" w:lineRule="auto"/>
        <w:jc w:val="both"/>
        <w:rPr>
          <w:b/>
          <w:bCs/>
          <w:sz w:val="24"/>
          <w:szCs w:val="24"/>
        </w:rPr>
      </w:pPr>
      <w:r>
        <w:rPr>
          <w:b/>
          <w:bCs/>
          <w:sz w:val="24"/>
          <w:szCs w:val="24"/>
        </w:rPr>
        <w:t>DAS OBRIGAÇÕES DA CONTRATADA</w:t>
      </w:r>
    </w:p>
    <w:p w14:paraId="50B3B799">
      <w:pPr>
        <w:spacing w:line="276" w:lineRule="auto"/>
        <w:jc w:val="both"/>
        <w:rPr>
          <w:b/>
          <w:bCs/>
          <w:sz w:val="24"/>
          <w:szCs w:val="24"/>
        </w:rPr>
      </w:pPr>
    </w:p>
    <w:p w14:paraId="199740DA">
      <w:pPr>
        <w:keepNext/>
        <w:jc w:val="both"/>
        <w:outlineLvl w:val="1"/>
        <w:rPr>
          <w:sz w:val="24"/>
          <w:szCs w:val="24"/>
        </w:rPr>
      </w:pPr>
      <w:r>
        <w:rPr>
          <w:b/>
          <w:sz w:val="24"/>
          <w:szCs w:val="24"/>
        </w:rPr>
        <w:t>12.2</w:t>
      </w:r>
      <w:r>
        <w:rPr>
          <w:sz w:val="24"/>
          <w:szCs w:val="24"/>
        </w:rPr>
        <w:t xml:space="preserve"> -</w:t>
      </w:r>
      <w:r>
        <w:rPr>
          <w:b/>
          <w:bCs/>
          <w:sz w:val="24"/>
          <w:szCs w:val="24"/>
        </w:rPr>
        <w:t xml:space="preserve"> </w:t>
      </w:r>
      <w:r>
        <w:rPr>
          <w:sz w:val="24"/>
          <w:szCs w:val="24"/>
        </w:rPr>
        <w:t>A Contratada será a única, integral e exclusiva responsável, em qualquer caso, por todos os danos e prejuízos de qualquer natureza que causar a Contratante ou a terceiros, decorrentes de sua culpa ou dolo, na execução do objeto deste Contrato, respondendo por si e por seus sucessores, não excluindo ou reduzindo essa responsabilidade, a fiscalização ou acompanhamento da Contratante.</w:t>
      </w:r>
    </w:p>
    <w:p w14:paraId="0BCA1F01">
      <w:pPr>
        <w:keepNext/>
        <w:jc w:val="both"/>
        <w:outlineLvl w:val="1"/>
        <w:rPr>
          <w:b/>
          <w:bCs/>
          <w:sz w:val="24"/>
          <w:szCs w:val="24"/>
        </w:rPr>
      </w:pPr>
    </w:p>
    <w:p w14:paraId="5A9F9D9F">
      <w:pPr>
        <w:jc w:val="both"/>
        <w:rPr>
          <w:bCs/>
          <w:sz w:val="24"/>
          <w:szCs w:val="24"/>
        </w:rPr>
      </w:pPr>
      <w:r>
        <w:rPr>
          <w:b/>
          <w:sz w:val="24"/>
          <w:szCs w:val="24"/>
        </w:rPr>
        <w:t xml:space="preserve"> 12.3</w:t>
      </w:r>
      <w:r>
        <w:rPr>
          <w:bCs/>
          <w:sz w:val="24"/>
          <w:szCs w:val="24"/>
        </w:rPr>
        <w:t xml:space="preserve"> - A Contratada é a responsável por todos os ônus tributários federais, estaduais e municipais, ou obrigações concernentes à legislação social, trabalhista, fiscal, securitária ou previdenciária, bem como as demais legislações aplicáveis.</w:t>
      </w:r>
    </w:p>
    <w:p w14:paraId="608695EE">
      <w:pPr>
        <w:jc w:val="both"/>
        <w:rPr>
          <w:bCs/>
          <w:sz w:val="24"/>
          <w:szCs w:val="24"/>
        </w:rPr>
      </w:pPr>
    </w:p>
    <w:p w14:paraId="386EBFF8">
      <w:pPr>
        <w:jc w:val="both"/>
        <w:rPr>
          <w:bCs/>
          <w:sz w:val="24"/>
          <w:szCs w:val="24"/>
        </w:rPr>
      </w:pPr>
      <w:r>
        <w:rPr>
          <w:b/>
          <w:sz w:val="24"/>
          <w:szCs w:val="24"/>
        </w:rPr>
        <w:t>12.4</w:t>
      </w:r>
      <w:r>
        <w:rPr>
          <w:bCs/>
          <w:sz w:val="24"/>
          <w:szCs w:val="24"/>
        </w:rPr>
        <w:t xml:space="preserve"> - A Contratada se obriga a manter, durante toda a execução do Contrato, em compatibilidade com as obrigações por ela assumidas, todas as condições de habilitação e qualificação exigidas para a licitação.</w:t>
      </w:r>
    </w:p>
    <w:p w14:paraId="23FC9D3D">
      <w:pPr>
        <w:jc w:val="both"/>
        <w:rPr>
          <w:bCs/>
          <w:sz w:val="24"/>
          <w:szCs w:val="24"/>
        </w:rPr>
      </w:pPr>
    </w:p>
    <w:p w14:paraId="0BC75374">
      <w:pPr>
        <w:jc w:val="both"/>
        <w:rPr>
          <w:bCs/>
          <w:sz w:val="24"/>
          <w:szCs w:val="24"/>
        </w:rPr>
      </w:pPr>
      <w:r>
        <w:rPr>
          <w:b/>
          <w:sz w:val="24"/>
          <w:szCs w:val="24"/>
        </w:rPr>
        <w:t>12.5</w:t>
      </w:r>
      <w:r>
        <w:rPr>
          <w:bCs/>
          <w:sz w:val="24"/>
          <w:szCs w:val="24"/>
        </w:rPr>
        <w:t xml:space="preserve"> - Caberá ainda a Contratada:</w:t>
      </w:r>
    </w:p>
    <w:p w14:paraId="78D9521E">
      <w:pPr>
        <w:numPr>
          <w:ilvl w:val="0"/>
          <w:numId w:val="7"/>
        </w:numPr>
        <w:suppressAutoHyphens/>
        <w:jc w:val="both"/>
        <w:rPr>
          <w:sz w:val="24"/>
          <w:szCs w:val="24"/>
        </w:rPr>
      </w:pPr>
      <w:r>
        <w:rPr>
          <w:sz w:val="24"/>
          <w:szCs w:val="24"/>
        </w:rPr>
        <w:t>Arcar com todas as despesas referentes à entrega do veículo;</w:t>
      </w:r>
    </w:p>
    <w:p w14:paraId="443045F4">
      <w:pPr>
        <w:numPr>
          <w:ilvl w:val="0"/>
          <w:numId w:val="7"/>
        </w:numPr>
        <w:suppressAutoHyphens/>
        <w:jc w:val="both"/>
        <w:rPr>
          <w:sz w:val="24"/>
          <w:szCs w:val="24"/>
        </w:rPr>
      </w:pPr>
      <w:r>
        <w:rPr>
          <w:sz w:val="24"/>
          <w:szCs w:val="24"/>
        </w:rPr>
        <w:t xml:space="preserve">Realizar a entrega </w:t>
      </w:r>
      <w:r>
        <w:rPr>
          <w:color w:val="000000"/>
          <w:sz w:val="24"/>
          <w:szCs w:val="24"/>
        </w:rPr>
        <w:t xml:space="preserve">do veículo </w:t>
      </w:r>
      <w:r>
        <w:rPr>
          <w:sz w:val="24"/>
          <w:szCs w:val="24"/>
        </w:rPr>
        <w:t>no local indicado na Cláusula Segunda deste Contrato, por sua conta e risco, sem nenhum ônus para a municipalidade;</w:t>
      </w:r>
    </w:p>
    <w:p w14:paraId="0AF881A1">
      <w:pPr>
        <w:pStyle w:val="20"/>
        <w:widowControl/>
        <w:numPr>
          <w:ilvl w:val="0"/>
          <w:numId w:val="7"/>
        </w:numPr>
        <w:suppressAutoHyphens w:val="0"/>
        <w:jc w:val="both"/>
        <w:rPr>
          <w:rFonts w:ascii="Times New Roman" w:hAnsi="Times New Roman" w:cs="Times New Roman"/>
        </w:rPr>
      </w:pPr>
      <w:r>
        <w:rPr>
          <w:rFonts w:ascii="Times New Roman" w:hAnsi="Times New Roman" w:cs="Times New Roman"/>
        </w:rPr>
        <w:t>Cumprir o prazo de entrega constante da proposta apresentada;</w:t>
      </w:r>
    </w:p>
    <w:p w14:paraId="7A91A4BF">
      <w:pPr>
        <w:pStyle w:val="20"/>
        <w:widowControl/>
        <w:numPr>
          <w:ilvl w:val="0"/>
          <w:numId w:val="7"/>
        </w:numPr>
        <w:suppressAutoHyphens w:val="0"/>
        <w:jc w:val="both"/>
        <w:rPr>
          <w:rFonts w:ascii="Times New Roman" w:hAnsi="Times New Roman" w:cs="Times New Roman"/>
        </w:rPr>
      </w:pPr>
      <w:r>
        <w:rPr>
          <w:rFonts w:ascii="Times New Roman" w:hAnsi="Times New Roman" w:cs="Times New Roman"/>
        </w:rPr>
        <w:t>Cumprir a garantia constante da proposta apresentada;</w:t>
      </w:r>
    </w:p>
    <w:p w14:paraId="406A3A7C">
      <w:pPr>
        <w:numPr>
          <w:ilvl w:val="0"/>
          <w:numId w:val="7"/>
        </w:numPr>
        <w:jc w:val="both"/>
        <w:rPr>
          <w:sz w:val="24"/>
          <w:szCs w:val="24"/>
        </w:rPr>
      </w:pPr>
      <w:r>
        <w:rPr>
          <w:sz w:val="24"/>
          <w:szCs w:val="24"/>
        </w:rPr>
        <w:t>Responder pela idoneidade e pelo comportamento de seus responsáveis, técnicos, empregados, prepostos ou subordinados;</w:t>
      </w:r>
    </w:p>
    <w:p w14:paraId="46526DB4">
      <w:pPr>
        <w:numPr>
          <w:ilvl w:val="0"/>
          <w:numId w:val="7"/>
        </w:numPr>
        <w:jc w:val="both"/>
        <w:rPr>
          <w:sz w:val="24"/>
          <w:szCs w:val="24"/>
        </w:rPr>
      </w:pPr>
      <w:r>
        <w:rPr>
          <w:sz w:val="24"/>
          <w:szCs w:val="24"/>
        </w:rPr>
        <w:t xml:space="preserve">Responder exclusiva e integralmente, perante a Contratante pela entrega </w:t>
      </w:r>
      <w:r>
        <w:rPr>
          <w:color w:val="000000"/>
          <w:sz w:val="24"/>
          <w:szCs w:val="24"/>
        </w:rPr>
        <w:t>do veículo</w:t>
      </w:r>
      <w:r>
        <w:rPr>
          <w:sz w:val="24"/>
          <w:szCs w:val="24"/>
        </w:rPr>
        <w:t xml:space="preserve"> nas condições pactuadas;</w:t>
      </w:r>
    </w:p>
    <w:p w14:paraId="6347773E">
      <w:pPr>
        <w:numPr>
          <w:ilvl w:val="0"/>
          <w:numId w:val="7"/>
        </w:numPr>
        <w:jc w:val="both"/>
        <w:rPr>
          <w:sz w:val="24"/>
          <w:szCs w:val="24"/>
        </w:rPr>
      </w:pPr>
      <w:r>
        <w:rPr>
          <w:sz w:val="24"/>
          <w:szCs w:val="24"/>
        </w:rPr>
        <w:t>Responder por violações a direito de uso de produtos, métodos ou processos de execução protegidos por marcas ou patentes, arcando com indenizações, taxas e/ou comissões que forem devidas;</w:t>
      </w:r>
    </w:p>
    <w:p w14:paraId="47B67218">
      <w:pPr>
        <w:numPr>
          <w:ilvl w:val="0"/>
          <w:numId w:val="7"/>
        </w:numPr>
        <w:ind w:left="708"/>
        <w:jc w:val="both"/>
        <w:rPr>
          <w:sz w:val="24"/>
          <w:szCs w:val="24"/>
        </w:rPr>
      </w:pPr>
      <w:r>
        <w:rPr>
          <w:sz w:val="24"/>
          <w:szCs w:val="24"/>
        </w:rPr>
        <w:t>Substituir, às suas expensas e responsabilidade, o</w:t>
      </w:r>
      <w:r>
        <w:rPr>
          <w:color w:val="000000"/>
          <w:sz w:val="24"/>
          <w:szCs w:val="24"/>
        </w:rPr>
        <w:t xml:space="preserve"> veículo, caso não esteja de acordo com as especificações, no prazo máximo de 15 (quinze) dias, contados da notificação por escrito da </w:t>
      </w:r>
      <w:r>
        <w:rPr>
          <w:sz w:val="24"/>
          <w:szCs w:val="24"/>
        </w:rPr>
        <w:t>Secretaria Municipal de Saúde;</w:t>
      </w:r>
    </w:p>
    <w:p w14:paraId="3D43E420">
      <w:pPr>
        <w:numPr>
          <w:ilvl w:val="0"/>
          <w:numId w:val="7"/>
        </w:numPr>
        <w:jc w:val="both"/>
        <w:rPr>
          <w:sz w:val="24"/>
          <w:szCs w:val="24"/>
        </w:rPr>
      </w:pPr>
      <w:r>
        <w:rPr>
          <w:sz w:val="24"/>
          <w:szCs w:val="24"/>
        </w:rPr>
        <w:t>Comprovar, a cada fatura emitida, a regularidade perante o Sistema de Seguridade Social (INSS) e com o Fundo de Garantia por Tempo de Serviço (FGTS);</w:t>
      </w:r>
    </w:p>
    <w:p w14:paraId="70937E8E">
      <w:pPr>
        <w:numPr>
          <w:ilvl w:val="0"/>
          <w:numId w:val="7"/>
        </w:numPr>
        <w:jc w:val="both"/>
        <w:rPr>
          <w:sz w:val="24"/>
          <w:szCs w:val="24"/>
        </w:rPr>
      </w:pPr>
      <w:r>
        <w:rPr>
          <w:bCs/>
          <w:sz w:val="24"/>
          <w:szCs w:val="24"/>
        </w:rPr>
        <w:t>Não transferir a outrem, no todo ou em parte, os compromissos avençados, salvo motivo justo aceito pela Contratante;</w:t>
      </w:r>
    </w:p>
    <w:p w14:paraId="656B131B">
      <w:pPr>
        <w:numPr>
          <w:ilvl w:val="0"/>
          <w:numId w:val="7"/>
        </w:numPr>
        <w:jc w:val="both"/>
        <w:rPr>
          <w:sz w:val="24"/>
          <w:szCs w:val="24"/>
        </w:rPr>
      </w:pPr>
      <w:r>
        <w:rPr>
          <w:bCs/>
          <w:sz w:val="24"/>
          <w:szCs w:val="24"/>
        </w:rPr>
        <w:t>Promover por sua conta, através de seguros, a cobertura dos riscos a que se julgar exposta em vista das responsabilidades que lhe cabem no cumprimento do objeto deste Contrato;</w:t>
      </w:r>
    </w:p>
    <w:p w14:paraId="57C8E705">
      <w:pPr>
        <w:numPr>
          <w:ilvl w:val="0"/>
          <w:numId w:val="7"/>
        </w:numPr>
        <w:suppressAutoHyphens/>
        <w:jc w:val="both"/>
        <w:rPr>
          <w:sz w:val="24"/>
          <w:szCs w:val="24"/>
        </w:rPr>
      </w:pPr>
      <w:r>
        <w:rPr>
          <w:sz w:val="24"/>
          <w:szCs w:val="24"/>
        </w:rPr>
        <w:t>Responsabilizar-se pelo pagamento e respectivos encargos sociais de todos os seus funcionários e/ou contratados envolvidos na execução do Contrato, não tendo os mesmos qualquer vínculo empregatício com o Município;</w:t>
      </w:r>
    </w:p>
    <w:p w14:paraId="5153A074">
      <w:pPr>
        <w:numPr>
          <w:ilvl w:val="0"/>
          <w:numId w:val="7"/>
        </w:numPr>
        <w:jc w:val="both"/>
        <w:rPr>
          <w:sz w:val="24"/>
          <w:szCs w:val="24"/>
        </w:rPr>
      </w:pPr>
      <w:r>
        <w:rPr>
          <w:sz w:val="24"/>
          <w:szCs w:val="24"/>
        </w:rPr>
        <w:t>Aceitar, nas mesmas condições e preços, os acréscimos ou supressões que se fizerem necessários até o limite de 25% (vinte e cinco por cento) do valor inicial da contratação para o objeto definido neste Contrato.</w:t>
      </w:r>
    </w:p>
    <w:p w14:paraId="103F62BA">
      <w:pPr>
        <w:ind w:left="360"/>
        <w:jc w:val="both"/>
        <w:rPr>
          <w:sz w:val="24"/>
          <w:szCs w:val="24"/>
        </w:rPr>
      </w:pPr>
    </w:p>
    <w:p w14:paraId="6ABB3237">
      <w:pPr>
        <w:keepNext/>
        <w:keepLines/>
        <w:tabs>
          <w:tab w:val="left" w:pos="567"/>
        </w:tabs>
        <w:spacing w:before="120" w:after="120" w:line="360" w:lineRule="auto"/>
        <w:jc w:val="both"/>
        <w:outlineLvl w:val="0"/>
        <w:rPr>
          <w:b/>
          <w:bCs/>
          <w:sz w:val="24"/>
          <w:szCs w:val="24"/>
        </w:rPr>
      </w:pPr>
      <w:r>
        <w:rPr>
          <w:b/>
          <w:bCs/>
          <w:sz w:val="24"/>
          <w:szCs w:val="24"/>
        </w:rPr>
        <w:t>13. DA VALIDADE DAS PROPOSTAS</w:t>
      </w:r>
    </w:p>
    <w:p w14:paraId="2A824E1C">
      <w:pPr>
        <w:pStyle w:val="101"/>
        <w:spacing w:before="120" w:after="120" w:line="276" w:lineRule="auto"/>
        <w:ind w:left="0" w:firstLine="0"/>
        <w:rPr>
          <w:rFonts w:ascii="Times New Roman" w:hAnsi="Times New Roman" w:cs="Times New Roman"/>
          <w:sz w:val="24"/>
          <w:szCs w:val="24"/>
        </w:rPr>
      </w:pPr>
      <w:r>
        <w:rPr>
          <w:rFonts w:ascii="Times New Roman" w:hAnsi="Times New Roman" w:cs="Times New Roman" w:eastAsiaTheme="minorHAnsi"/>
          <w:sz w:val="24"/>
          <w:szCs w:val="24"/>
          <w:lang w:eastAsia="en-US"/>
        </w:rPr>
        <w:t xml:space="preserve">13.1 </w:t>
      </w:r>
      <w:r>
        <w:rPr>
          <w:rFonts w:ascii="Times New Roman" w:hAnsi="Times New Roman" w:cs="Times New Roman" w:eastAsiaTheme="minorHAnsi"/>
          <w:b w:val="0"/>
          <w:bCs w:val="0"/>
          <w:sz w:val="24"/>
          <w:szCs w:val="24"/>
          <w:lang w:eastAsia="en-US"/>
        </w:rPr>
        <w:t>- As propostas apresentadas deverão ser válidas por, no mínimo, 60 (sessenta) dias, contados a partir da data de abertura do certame, na forma do art. 90, §3º da Lei n.º 14.133/2021.</w:t>
      </w:r>
    </w:p>
    <w:p w14:paraId="63FB51C0">
      <w:pPr>
        <w:pStyle w:val="101"/>
        <w:spacing w:before="120" w:after="120" w:line="276" w:lineRule="auto"/>
        <w:ind w:left="0" w:firstLine="0"/>
        <w:rPr>
          <w:rFonts w:ascii="Times New Roman" w:hAnsi="Times New Roman" w:cs="Times New Roman"/>
          <w:sz w:val="24"/>
          <w:szCs w:val="24"/>
        </w:rPr>
      </w:pPr>
      <w:r>
        <w:rPr>
          <w:rFonts w:ascii="Times New Roman" w:hAnsi="Times New Roman" w:cs="Times New Roman"/>
          <w:sz w:val="24"/>
          <w:szCs w:val="24"/>
        </w:rPr>
        <w:t>14. DA ESTIMATIVA DE VALOR DA CONTRATAÇÃO</w:t>
      </w:r>
    </w:p>
    <w:p w14:paraId="3B7C1AD3">
      <w:pPr>
        <w:pStyle w:val="99"/>
        <w:numPr>
          <w:ilvl w:val="1"/>
          <w:numId w:val="8"/>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 xml:space="preserve">- O valor deverá ser estimado pesquisa pela Secretaria Requisitante. </w:t>
      </w:r>
      <w:bookmarkStart w:id="41" w:name="_Hlk132114322"/>
    </w:p>
    <w:p w14:paraId="231DF5F5">
      <w:pPr>
        <w:pStyle w:val="101"/>
        <w:spacing w:line="276" w:lineRule="auto"/>
        <w:ind w:left="0" w:firstLine="0"/>
        <w:rPr>
          <w:rFonts w:ascii="Times New Roman" w:hAnsi="Times New Roman" w:cs="Times New Roman"/>
          <w:sz w:val="24"/>
          <w:szCs w:val="24"/>
        </w:rPr>
      </w:pPr>
      <w:r>
        <w:rPr>
          <w:rFonts w:ascii="Times New Roman" w:hAnsi="Times New Roman" w:cs="Times New Roman"/>
          <w:sz w:val="24"/>
          <w:szCs w:val="24"/>
        </w:rPr>
        <w:t>15. DA ADEQUAÇÃO ORÇAMENTÁRIA</w:t>
      </w:r>
      <w:bookmarkEnd w:id="41"/>
      <w:bookmarkStart w:id="42" w:name="_Hlk132114351"/>
    </w:p>
    <w:p w14:paraId="4F7181A8">
      <w:pPr>
        <w:pStyle w:val="101"/>
        <w:spacing w:line="276" w:lineRule="auto"/>
        <w:ind w:left="0" w:firstLine="0"/>
        <w:rPr>
          <w:rFonts w:ascii="Times New Roman" w:hAnsi="Times New Roman" w:cs="Times New Roman" w:eastAsiaTheme="minorHAnsi"/>
          <w:b w:val="0"/>
          <w:bCs w:val="0"/>
          <w:sz w:val="24"/>
          <w:szCs w:val="24"/>
          <w:lang w:eastAsia="en-US"/>
        </w:rPr>
      </w:pPr>
      <w:r>
        <w:rPr>
          <w:rFonts w:ascii="Times New Roman" w:hAnsi="Times New Roman" w:cs="Times New Roman" w:eastAsiaTheme="minorHAnsi"/>
          <w:sz w:val="24"/>
          <w:szCs w:val="24"/>
          <w:lang w:eastAsia="en-US"/>
        </w:rPr>
        <w:t>15.1</w:t>
      </w:r>
      <w:r>
        <w:rPr>
          <w:rFonts w:ascii="Times New Roman" w:hAnsi="Times New Roman" w:cs="Times New Roman" w:eastAsiaTheme="minorHAnsi"/>
          <w:b w:val="0"/>
          <w:bCs w:val="0"/>
          <w:sz w:val="24"/>
          <w:szCs w:val="24"/>
          <w:lang w:eastAsia="en-US"/>
        </w:rPr>
        <w:t xml:space="preserve"> - Os recursos orçamentários decorrentes da presente contratação correrão à conta dos recursos informados pelo Setor de Contabilidade do Fundo Municipal de Saúde;</w:t>
      </w:r>
    </w:p>
    <w:bookmarkEnd w:id="42"/>
    <w:p w14:paraId="5087F913">
      <w:pPr>
        <w:pStyle w:val="101"/>
        <w:pBdr>
          <w:top w:val="none" w:color="auto" w:sz="0" w:space="0"/>
          <w:left w:val="none" w:color="auto" w:sz="0" w:space="0"/>
          <w:bottom w:val="none" w:color="auto" w:sz="0" w:space="0"/>
          <w:right w:val="none" w:color="auto" w:sz="0" w:space="0"/>
          <w:between w:val="none" w:color="auto" w:sz="0" w:space="0"/>
        </w:pBdr>
        <w:tabs>
          <w:tab w:val="left" w:pos="854"/>
          <w:tab w:val="left" w:pos="1154"/>
          <w:tab w:val="left" w:pos="1409"/>
          <w:tab w:val="left" w:pos="1664"/>
          <w:tab w:val="left" w:pos="1979"/>
          <w:tab w:val="left" w:pos="2234"/>
          <w:tab w:val="left" w:pos="7350"/>
        </w:tabs>
        <w:spacing w:before="0" w:line="360" w:lineRule="auto"/>
        <w:rPr>
          <w:rFonts w:ascii="Times New Roman" w:hAnsi="Times New Roman" w:cs="Times New Roman"/>
          <w:sz w:val="24"/>
          <w:szCs w:val="24"/>
        </w:rPr>
      </w:pPr>
      <w:bookmarkStart w:id="43" w:name="_Hlk132114376"/>
    </w:p>
    <w:p w14:paraId="0B6B2F16">
      <w:pPr>
        <w:pStyle w:val="101"/>
        <w:pBdr>
          <w:top w:val="none" w:color="auto" w:sz="0" w:space="0"/>
          <w:left w:val="none" w:color="auto" w:sz="0" w:space="0"/>
          <w:bottom w:val="none" w:color="auto" w:sz="0" w:space="0"/>
          <w:right w:val="none" w:color="auto" w:sz="0" w:space="0"/>
          <w:between w:val="none" w:color="auto" w:sz="0" w:space="0"/>
        </w:pBdr>
        <w:tabs>
          <w:tab w:val="left" w:pos="854"/>
          <w:tab w:val="left" w:pos="1154"/>
          <w:tab w:val="left" w:pos="1409"/>
          <w:tab w:val="left" w:pos="1664"/>
          <w:tab w:val="left" w:pos="1979"/>
          <w:tab w:val="left" w:pos="2234"/>
          <w:tab w:val="left" w:pos="7350"/>
        </w:tabs>
        <w:spacing w:before="0" w:line="360" w:lineRule="auto"/>
        <w:rPr>
          <w:rFonts w:ascii="Times New Roman" w:hAnsi="Times New Roman" w:cs="Times New Roman"/>
          <w:sz w:val="24"/>
          <w:szCs w:val="24"/>
        </w:rPr>
      </w:pPr>
      <w:r>
        <w:rPr>
          <w:rFonts w:ascii="Times New Roman" w:hAnsi="Times New Roman" w:cs="Times New Roman"/>
          <w:sz w:val="24"/>
          <w:szCs w:val="24"/>
        </w:rPr>
        <w:t>16. DAS INFRAÇÕES E SANÇÕES ADMINISTRATIVAS (art. 92, inc. XIV da Lei n.º 14.133/2021)</w:t>
      </w:r>
      <w:bookmarkEnd w:id="43"/>
    </w:p>
    <w:p w14:paraId="5B77838F"/>
    <w:p w14:paraId="29FA2906">
      <w:pPr>
        <w:pStyle w:val="101"/>
        <w:pBdr>
          <w:top w:val="none" w:color="auto" w:sz="0" w:space="0"/>
          <w:left w:val="none" w:color="auto" w:sz="0" w:space="0"/>
          <w:bottom w:val="none" w:color="auto" w:sz="0" w:space="0"/>
          <w:right w:val="none" w:color="auto" w:sz="0" w:space="0"/>
          <w:between w:val="none" w:color="auto" w:sz="0" w:space="0"/>
        </w:pBdr>
        <w:tabs>
          <w:tab w:val="left" w:pos="854"/>
          <w:tab w:val="left" w:pos="1154"/>
          <w:tab w:val="left" w:pos="1409"/>
          <w:tab w:val="left" w:pos="1664"/>
          <w:tab w:val="left" w:pos="1979"/>
          <w:tab w:val="left" w:pos="2234"/>
          <w:tab w:val="left" w:pos="7350"/>
        </w:tabs>
        <w:spacing w:before="0" w:line="360" w:lineRule="auto"/>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16.1 </w:t>
      </w:r>
      <w:r>
        <w:rPr>
          <w:rFonts w:ascii="Times New Roman" w:hAnsi="Times New Roman" w:cs="Times New Roman" w:eastAsiaTheme="minorHAnsi"/>
          <w:b w:val="0"/>
          <w:bCs w:val="0"/>
          <w:sz w:val="24"/>
          <w:szCs w:val="24"/>
          <w:lang w:eastAsia="en-US"/>
        </w:rPr>
        <w:t>Comete infração administrativa, nos termos da Lei nº 14.133, de 2021, o Contratado que:</w:t>
      </w:r>
    </w:p>
    <w:p w14:paraId="7D049056">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16.1.1.</w:t>
      </w:r>
      <w:r>
        <w:rPr>
          <w:rFonts w:ascii="Times New Roman" w:hAnsi="Times New Roman" w:cs="Times New Roman" w:eastAsiaTheme="minorHAnsi"/>
          <w:color w:val="auto"/>
          <w:sz w:val="24"/>
          <w:szCs w:val="24"/>
          <w:lang w:eastAsia="en-US"/>
        </w:rPr>
        <w:t xml:space="preserve"> der causa à inexecução parcial do contrato;</w:t>
      </w:r>
    </w:p>
    <w:p w14:paraId="3322262F">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16.1.2.</w:t>
      </w:r>
      <w:r>
        <w:rPr>
          <w:rFonts w:ascii="Times New Roman" w:hAnsi="Times New Roman" w:cs="Times New Roman" w:eastAsiaTheme="minorHAnsi"/>
          <w:color w:val="auto"/>
          <w:sz w:val="24"/>
          <w:szCs w:val="24"/>
          <w:lang w:eastAsia="en-US"/>
        </w:rPr>
        <w:t xml:space="preserve"> der causa à inexecução parcial do contrato que cause grave dano à Administração ou ao funcionamento dos serviços públicos ou ao interesse coletivo;</w:t>
      </w:r>
    </w:p>
    <w:p w14:paraId="401FA520">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16.1.3.</w:t>
      </w:r>
      <w:r>
        <w:rPr>
          <w:rFonts w:ascii="Times New Roman" w:hAnsi="Times New Roman" w:cs="Times New Roman" w:eastAsiaTheme="minorHAnsi"/>
          <w:color w:val="auto"/>
          <w:sz w:val="24"/>
          <w:szCs w:val="24"/>
          <w:lang w:eastAsia="en-US"/>
        </w:rPr>
        <w:t xml:space="preserve"> der causa à inexecução total do contrato;</w:t>
      </w:r>
    </w:p>
    <w:p w14:paraId="190EA47A">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16.1.4.</w:t>
      </w:r>
      <w:r>
        <w:rPr>
          <w:rFonts w:ascii="Times New Roman" w:hAnsi="Times New Roman" w:cs="Times New Roman" w:eastAsiaTheme="minorHAnsi"/>
          <w:color w:val="auto"/>
          <w:sz w:val="24"/>
          <w:szCs w:val="24"/>
          <w:lang w:eastAsia="en-US"/>
        </w:rPr>
        <w:t xml:space="preserve"> deixar de entregar a documentação exigida para o certame;</w:t>
      </w:r>
    </w:p>
    <w:p w14:paraId="61C8ACB7">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16.1.5.</w:t>
      </w:r>
      <w:r>
        <w:rPr>
          <w:rFonts w:ascii="Times New Roman" w:hAnsi="Times New Roman" w:cs="Times New Roman" w:eastAsiaTheme="minorHAnsi"/>
          <w:color w:val="auto"/>
          <w:sz w:val="24"/>
          <w:szCs w:val="24"/>
          <w:lang w:eastAsia="en-US"/>
        </w:rPr>
        <w:t xml:space="preserve"> não mantiver a proposta, salvo em decorrência de fato superveniente devidamente justificado;</w:t>
      </w:r>
    </w:p>
    <w:p w14:paraId="6A96E4DC">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16.1.6.</w:t>
      </w:r>
      <w:r>
        <w:rPr>
          <w:rFonts w:ascii="Times New Roman" w:hAnsi="Times New Roman" w:cs="Times New Roman" w:eastAsiaTheme="minorHAnsi"/>
          <w:color w:val="auto"/>
          <w:sz w:val="24"/>
          <w:szCs w:val="24"/>
          <w:lang w:eastAsia="en-US"/>
        </w:rPr>
        <w:t xml:space="preserve"> não celebrar o contrato ou não entregar a documentação exigida para a contratação, quando convocado dentro do prazo de validade de sua proposta, na forma do item 12;</w:t>
      </w:r>
    </w:p>
    <w:p w14:paraId="39D6B9D8">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16.1.7.</w:t>
      </w:r>
      <w:r>
        <w:rPr>
          <w:rFonts w:ascii="Times New Roman" w:hAnsi="Times New Roman" w:cs="Times New Roman" w:eastAsiaTheme="minorHAnsi"/>
          <w:color w:val="auto"/>
          <w:sz w:val="24"/>
          <w:szCs w:val="24"/>
          <w:lang w:eastAsia="en-US"/>
        </w:rPr>
        <w:t xml:space="preserve"> ensejar o retardamento da execução ou da entrega do objeto da contratação sem motivo justificado;</w:t>
      </w:r>
    </w:p>
    <w:p w14:paraId="7DA458D9">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16.1.8.</w:t>
      </w:r>
      <w:r>
        <w:rPr>
          <w:rFonts w:ascii="Times New Roman" w:hAnsi="Times New Roman" w:cs="Times New Roman" w:eastAsiaTheme="minorHAnsi"/>
          <w:color w:val="auto"/>
          <w:sz w:val="24"/>
          <w:szCs w:val="24"/>
          <w:lang w:eastAsia="en-US"/>
        </w:rPr>
        <w:t xml:space="preserve"> apresentar declaração ou documentação inidônea exigida para o certame ou prestar declaração falsa durante a execução do contrato; </w:t>
      </w:r>
    </w:p>
    <w:p w14:paraId="24F184AE">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16.1.9.</w:t>
      </w:r>
      <w:r>
        <w:rPr>
          <w:rFonts w:ascii="Times New Roman" w:hAnsi="Times New Roman" w:cs="Times New Roman" w:eastAsiaTheme="minorHAnsi"/>
          <w:color w:val="auto"/>
          <w:sz w:val="24"/>
          <w:szCs w:val="24"/>
          <w:lang w:eastAsia="en-US"/>
        </w:rPr>
        <w:t xml:space="preserve"> fraudar a contratação ou praticar ato fraudulento na execução do contrato;</w:t>
      </w:r>
    </w:p>
    <w:p w14:paraId="607BC6D3">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16.1.10.</w:t>
      </w:r>
      <w:r>
        <w:rPr>
          <w:rFonts w:ascii="Times New Roman" w:hAnsi="Times New Roman" w:cs="Times New Roman" w:eastAsiaTheme="minorHAnsi"/>
          <w:color w:val="auto"/>
          <w:sz w:val="24"/>
          <w:szCs w:val="24"/>
          <w:lang w:eastAsia="en-US"/>
        </w:rPr>
        <w:t xml:space="preserve"> comportar-se de modo inidôneo ou cometer fraude de qualquer natureza;</w:t>
      </w:r>
    </w:p>
    <w:p w14:paraId="07876EAA">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b/>
          <w:bCs/>
          <w:color w:val="auto"/>
          <w:sz w:val="24"/>
          <w:szCs w:val="24"/>
          <w:lang w:eastAsia="en-US"/>
        </w:rPr>
      </w:pPr>
      <w:r>
        <w:rPr>
          <w:rFonts w:ascii="Times New Roman" w:hAnsi="Times New Roman" w:cs="Times New Roman" w:eastAsiaTheme="minorHAnsi"/>
          <w:b/>
          <w:bCs/>
          <w:color w:val="auto"/>
          <w:sz w:val="24"/>
          <w:szCs w:val="24"/>
          <w:lang w:eastAsia="en-US"/>
        </w:rPr>
        <w:t xml:space="preserve">16.1.11. </w:t>
      </w:r>
      <w:r>
        <w:rPr>
          <w:rFonts w:ascii="Times New Roman" w:hAnsi="Times New Roman" w:cs="Times New Roman" w:eastAsiaTheme="minorHAnsi"/>
          <w:color w:val="auto"/>
          <w:sz w:val="24"/>
          <w:szCs w:val="24"/>
          <w:lang w:eastAsia="en-US"/>
        </w:rPr>
        <w:t>praticar atos ilícitos com vistas a frustrar os objetivos do certame;</w:t>
      </w:r>
    </w:p>
    <w:p w14:paraId="71AD1359">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16.1.12.</w:t>
      </w:r>
      <w:r>
        <w:rPr>
          <w:rFonts w:ascii="Times New Roman" w:hAnsi="Times New Roman" w:cs="Times New Roman" w:eastAsiaTheme="minorHAnsi"/>
          <w:color w:val="auto"/>
          <w:sz w:val="24"/>
          <w:szCs w:val="24"/>
          <w:lang w:eastAsia="en-US"/>
        </w:rPr>
        <w:t xml:space="preserve"> praticar ato lesivo previsto no art. 5º da Lei nº 12.846, de 1º de agosto de 2013.</w:t>
      </w:r>
    </w:p>
    <w:p w14:paraId="17CC21E3">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710" w:firstLine="0"/>
        <w:rPr>
          <w:rFonts w:ascii="Times New Roman" w:hAnsi="Times New Roman" w:cs="Times New Roman" w:eastAsiaTheme="minorHAnsi"/>
          <w:color w:val="auto"/>
          <w:sz w:val="24"/>
          <w:szCs w:val="24"/>
          <w:lang w:eastAsia="en-US"/>
        </w:rPr>
      </w:pPr>
    </w:p>
    <w:p w14:paraId="0D3CD251">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0" w:firstLine="0"/>
        <w:rPr>
          <w:rFonts w:ascii="Times New Roman" w:hAnsi="Times New Roman" w:cs="Times New Roman" w:eastAsiaTheme="minorHAnsi"/>
          <w:b/>
          <w:bCs/>
          <w:color w:val="auto"/>
          <w:sz w:val="24"/>
          <w:szCs w:val="24"/>
          <w:lang w:eastAsia="en-US"/>
        </w:rPr>
      </w:pPr>
      <w:r>
        <w:rPr>
          <w:rFonts w:ascii="Times New Roman" w:hAnsi="Times New Roman" w:cs="Times New Roman" w:eastAsiaTheme="minorHAnsi"/>
          <w:b/>
          <w:bCs/>
          <w:color w:val="auto"/>
          <w:sz w:val="24"/>
          <w:szCs w:val="24"/>
          <w:lang w:eastAsia="en-US"/>
        </w:rPr>
        <w:t>16.2</w:t>
      </w:r>
      <w:r>
        <w:rPr>
          <w:rFonts w:ascii="Times New Roman" w:hAnsi="Times New Roman" w:cs="Times New Roman" w:eastAsiaTheme="minorHAnsi"/>
          <w:color w:val="auto"/>
          <w:sz w:val="24"/>
          <w:szCs w:val="24"/>
          <w:lang w:eastAsia="en-US"/>
        </w:rPr>
        <w:t xml:space="preserve"> - Serão aplicadas ao responsável pelas infrações administrativas acima descritas as seguintes sanções:</w:t>
      </w:r>
    </w:p>
    <w:p w14:paraId="715D2086">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1142"/>
        <w:rPr>
          <w:rFonts w:ascii="Times New Roman" w:hAnsi="Times New Roman" w:cs="Times New Roman" w:eastAsiaTheme="minorHAnsi"/>
          <w:color w:val="auto"/>
          <w:sz w:val="24"/>
          <w:szCs w:val="24"/>
          <w:lang w:eastAsia="en-US"/>
        </w:rPr>
      </w:pPr>
    </w:p>
    <w:p w14:paraId="1CB5B03D">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16.2.1.</w:t>
      </w:r>
      <w:r>
        <w:rPr>
          <w:rFonts w:ascii="Times New Roman" w:hAnsi="Times New Roman" w:cs="Times New Roman" w:eastAsiaTheme="minorHAnsi"/>
          <w:color w:val="auto"/>
          <w:sz w:val="24"/>
          <w:szCs w:val="24"/>
          <w:lang w:eastAsia="en-US"/>
        </w:rPr>
        <w:t xml:space="preserve"> Advertência, quando o Contratado der causa à inexecução parcial do contrato, sempre que não se justificar a imposição de penalidade mais grave (art. 156, §2º, da Lei n.º 14.133/2021);</w:t>
      </w:r>
    </w:p>
    <w:p w14:paraId="0136DBDF">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16.2.2.</w:t>
      </w:r>
      <w:r>
        <w:rPr>
          <w:rFonts w:ascii="Times New Roman" w:hAnsi="Times New Roman" w:cs="Times New Roman" w:eastAsiaTheme="minorHAnsi"/>
          <w:color w:val="auto"/>
          <w:sz w:val="24"/>
          <w:szCs w:val="24"/>
          <w:lang w:eastAsia="en-US"/>
        </w:rPr>
        <w:t xml:space="preserve"> Impedimento de licitar e contratar, quando praticadas as condutas descritas nas alíneas b, c, d, e, f e g do subitem acima, sempre que não se justificar a imposição de penalidade mais grave (art. 156, §4º, da Lei 14.133/2021);</w:t>
      </w:r>
    </w:p>
    <w:p w14:paraId="309DA6F8">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16.2.3.</w:t>
      </w:r>
      <w:r>
        <w:rPr>
          <w:rFonts w:ascii="Times New Roman" w:hAnsi="Times New Roman" w:cs="Times New Roman" w:eastAsiaTheme="minorHAnsi"/>
          <w:color w:val="auto"/>
          <w:sz w:val="24"/>
          <w:szCs w:val="24"/>
          <w:lang w:eastAsia="en-US"/>
        </w:rPr>
        <w:t xml:space="preserve"> Declaração de inidoneidade para licitar e contratar, quando praticadas as condutas descritas nas alíneas h, i, j, k e l do subitem acima, bem como nas alíneas b, c, d, e, f e g, que justifiquem a imposição de penalidade mais grave (art. 156, §5º, da Lei 14.133/2021)</w:t>
      </w:r>
    </w:p>
    <w:p w14:paraId="59C16A3C">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p>
    <w:p w14:paraId="2B1B5156">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16.2.4. Multa:</w:t>
      </w:r>
    </w:p>
    <w:p w14:paraId="520C1C08">
      <w:pPr>
        <w:pStyle w:val="61"/>
        <w:numPr>
          <w:ilvl w:val="1"/>
          <w:numId w:val="9"/>
        </w:numPr>
        <w:suppressAutoHyphens/>
        <w:spacing w:line="276" w:lineRule="auto"/>
        <w:ind w:left="1134" w:hanging="54"/>
        <w:contextualSpacing w:val="0"/>
        <w:jc w:val="both"/>
        <w:rPr>
          <w:rFonts w:eastAsia="Calibri"/>
          <w:sz w:val="24"/>
          <w:szCs w:val="24"/>
        </w:rPr>
      </w:pPr>
      <w:r>
        <w:rPr>
          <w:rFonts w:eastAsia="Calibri"/>
          <w:sz w:val="24"/>
          <w:szCs w:val="24"/>
        </w:rPr>
        <w:t>moratória de 1% (um por cento) por dia útil de atraso injustificado sobre o valor da parcela inadimplida, até o limite de 20% (vinte por cento) do valor global do contrato;</w:t>
      </w:r>
    </w:p>
    <w:p w14:paraId="359C418D">
      <w:pPr>
        <w:pStyle w:val="61"/>
        <w:numPr>
          <w:ilvl w:val="1"/>
          <w:numId w:val="9"/>
        </w:numPr>
        <w:spacing w:line="276" w:lineRule="auto"/>
        <w:contextualSpacing w:val="0"/>
        <w:jc w:val="both"/>
        <w:rPr>
          <w:rFonts w:eastAsia="Calibri"/>
          <w:sz w:val="24"/>
          <w:szCs w:val="24"/>
        </w:rPr>
      </w:pPr>
      <w:r>
        <w:rPr>
          <w:rFonts w:eastAsia="Calibri"/>
          <w:sz w:val="24"/>
          <w:szCs w:val="24"/>
        </w:rPr>
        <w:t>compensatória de 20% (vinte por cento) sobre o valor total do contrato, no caso de inexecução total do objeto;</w:t>
      </w:r>
    </w:p>
    <w:p w14:paraId="468B89E6">
      <w:pPr>
        <w:pStyle w:val="99"/>
        <w:spacing w:line="360" w:lineRule="auto"/>
        <w:ind w:left="0" w:firstLine="0"/>
        <w:rPr>
          <w:rFonts w:ascii="Times New Roman" w:hAnsi="Times New Roman" w:eastAsia="Calibri" w:cs="Times New Roman"/>
          <w:sz w:val="24"/>
          <w:szCs w:val="24"/>
        </w:rPr>
      </w:pPr>
      <w:r>
        <w:rPr>
          <w:rFonts w:ascii="Times New Roman" w:hAnsi="Times New Roman" w:cs="Times New Roman" w:eastAsiaTheme="minorHAnsi"/>
          <w:b/>
          <w:bCs/>
          <w:color w:val="auto"/>
          <w:sz w:val="24"/>
          <w:szCs w:val="24"/>
          <w:lang w:eastAsia="en-US"/>
        </w:rPr>
        <w:t xml:space="preserve">16.3 </w:t>
      </w:r>
      <w:r>
        <w:rPr>
          <w:rFonts w:ascii="Times New Roman" w:hAnsi="Times New Roman" w:cs="Times New Roman" w:eastAsiaTheme="minorHAnsi"/>
          <w:color w:val="auto"/>
          <w:sz w:val="24"/>
          <w:szCs w:val="24"/>
          <w:lang w:eastAsia="en-US"/>
        </w:rPr>
        <w:t xml:space="preserve">- </w:t>
      </w:r>
      <w:r>
        <w:rPr>
          <w:rFonts w:ascii="Times New Roman" w:hAnsi="Times New Roman" w:eastAsia="Calibri" w:cs="Times New Roman"/>
          <w:sz w:val="24"/>
          <w:szCs w:val="24"/>
        </w:rPr>
        <w:t>A aplicação das sanções previstas no Contrato não exclui, em hipótese alguma, a obrigação de reparação integral do dano causado ao Contratante (art. 156, §9º da Lei n.º 14.133/2021);</w:t>
      </w:r>
    </w:p>
    <w:p w14:paraId="723627ED">
      <w:pPr>
        <w:pStyle w:val="99"/>
        <w:spacing w:line="360" w:lineRule="auto"/>
        <w:ind w:left="0"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 xml:space="preserve">16.4 </w:t>
      </w:r>
      <w:r>
        <w:rPr>
          <w:rFonts w:ascii="Times New Roman" w:hAnsi="Times New Roman" w:cs="Times New Roman" w:eastAsiaTheme="minorHAnsi"/>
          <w:color w:val="auto"/>
          <w:sz w:val="24"/>
          <w:szCs w:val="24"/>
          <w:lang w:eastAsia="en-US"/>
        </w:rPr>
        <w:t>- Todas as sanções previstas neste Termo de Referência poderão ser aplicadas cumulativamente com a multa (art. 156, §7º da Lei n.º 14.133/2021).</w:t>
      </w:r>
    </w:p>
    <w:p w14:paraId="22A6941A">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 xml:space="preserve">16.4.1. </w:t>
      </w:r>
      <w:r>
        <w:rPr>
          <w:rFonts w:ascii="Times New Roman" w:hAnsi="Times New Roman" w:cs="Times New Roman" w:eastAsiaTheme="minorHAnsi"/>
          <w:color w:val="auto"/>
          <w:sz w:val="24"/>
          <w:szCs w:val="24"/>
          <w:lang w:eastAsia="en-US"/>
        </w:rPr>
        <w:t>Antes da aplicação da multa será facultada a defesa do interessado no prazo de 15 (quinze) dias úteis, contado da data de sua intimação (art. 157, caput da Lei n.º 14.133/2021);</w:t>
      </w:r>
    </w:p>
    <w:p w14:paraId="6B8C7D96">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 xml:space="preserve">16.4.2. </w:t>
      </w:r>
      <w:r>
        <w:rPr>
          <w:rFonts w:ascii="Times New Roman" w:hAnsi="Times New Roman" w:cs="Times New Roman" w:eastAsiaTheme="minorHAnsi"/>
          <w:color w:val="auto"/>
          <w:sz w:val="24"/>
          <w:szCs w:val="24"/>
          <w:lang w:eastAsia="en-US"/>
        </w:rPr>
        <w:t>Se a multa aplicada e as indenizações cabíveis forem superiores ao valor do pagamento eventualmente devido pela Contratante ao Contratado, além da perda desse valor, a diferença será descontada da garantia prestada ou será cobrada judicialmente (art. 156, §8º da Lei n.º 14.133/2021);</w:t>
      </w:r>
    </w:p>
    <w:p w14:paraId="07BAE306">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b/>
          <w:bCs/>
          <w:color w:val="auto"/>
          <w:sz w:val="24"/>
          <w:szCs w:val="24"/>
          <w:lang w:eastAsia="en-US"/>
        </w:rPr>
        <w:t xml:space="preserve">16.4.3. </w:t>
      </w:r>
      <w:r>
        <w:rPr>
          <w:rFonts w:ascii="Times New Roman" w:hAnsi="Times New Roman" w:cs="Times New Roman" w:eastAsiaTheme="minorHAnsi"/>
          <w:color w:val="auto"/>
          <w:sz w:val="24"/>
          <w:szCs w:val="24"/>
          <w:lang w:eastAsia="en-US"/>
        </w:rPr>
        <w:t>Previamente ao encaminhamento à cobrança judicial, a multa poderá ser recolhida administrativamente no prazo máximo de 10 (dez) dias, a contar da data do recebimento da comunicação enviada pela autoridade competente;</w:t>
      </w:r>
    </w:p>
    <w:p w14:paraId="68618F2E">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0" w:after="0"/>
        <w:ind w:left="567" w:firstLine="0"/>
        <w:rPr>
          <w:rFonts w:ascii="Times New Roman" w:hAnsi="Times New Roman" w:cs="Times New Roman" w:eastAsiaTheme="minorHAnsi"/>
          <w:color w:val="auto"/>
          <w:sz w:val="24"/>
          <w:szCs w:val="24"/>
          <w:lang w:eastAsia="en-US"/>
        </w:rPr>
      </w:pPr>
    </w:p>
    <w:p w14:paraId="0B66638E">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D05C45B">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 Na aplicação das sanções serão considerados (art. 156, §1º da Lei nº 14.133/2021):</w:t>
      </w:r>
    </w:p>
    <w:p w14:paraId="414AC009">
      <w:pPr>
        <w:pStyle w:val="61"/>
        <w:numPr>
          <w:ilvl w:val="0"/>
          <w:numId w:val="11"/>
        </w:numPr>
        <w:suppressAutoHyphens/>
        <w:spacing w:line="276" w:lineRule="auto"/>
        <w:jc w:val="both"/>
        <w:rPr>
          <w:rFonts w:eastAsia="Calibri"/>
          <w:sz w:val="24"/>
          <w:szCs w:val="24"/>
        </w:rPr>
      </w:pPr>
      <w:r>
        <w:rPr>
          <w:rFonts w:eastAsia="Calibri"/>
          <w:sz w:val="24"/>
          <w:szCs w:val="24"/>
        </w:rPr>
        <w:t>a natureza e a gravidade da infração cometida;</w:t>
      </w:r>
    </w:p>
    <w:p w14:paraId="6BB5DF1A">
      <w:pPr>
        <w:pStyle w:val="61"/>
        <w:numPr>
          <w:ilvl w:val="0"/>
          <w:numId w:val="11"/>
        </w:numPr>
        <w:suppressAutoHyphens/>
        <w:spacing w:line="276" w:lineRule="auto"/>
        <w:jc w:val="both"/>
        <w:rPr>
          <w:rFonts w:eastAsia="Calibri"/>
          <w:sz w:val="24"/>
          <w:szCs w:val="24"/>
        </w:rPr>
      </w:pPr>
      <w:r>
        <w:rPr>
          <w:rFonts w:eastAsia="Calibri"/>
          <w:sz w:val="24"/>
          <w:szCs w:val="24"/>
        </w:rPr>
        <w:t>as peculiaridades do caso concreto;</w:t>
      </w:r>
    </w:p>
    <w:p w14:paraId="3B3CCD60">
      <w:pPr>
        <w:pStyle w:val="61"/>
        <w:numPr>
          <w:ilvl w:val="0"/>
          <w:numId w:val="11"/>
        </w:numPr>
        <w:suppressAutoHyphens/>
        <w:spacing w:line="276" w:lineRule="auto"/>
        <w:jc w:val="both"/>
        <w:rPr>
          <w:rFonts w:eastAsia="Calibri"/>
          <w:sz w:val="24"/>
          <w:szCs w:val="24"/>
        </w:rPr>
      </w:pPr>
      <w:r>
        <w:rPr>
          <w:rFonts w:eastAsia="Calibri"/>
          <w:sz w:val="24"/>
          <w:szCs w:val="24"/>
        </w:rPr>
        <w:t>as circunstâncias agravantes ou atenuantes;</w:t>
      </w:r>
    </w:p>
    <w:p w14:paraId="269FA921">
      <w:pPr>
        <w:pStyle w:val="61"/>
        <w:numPr>
          <w:ilvl w:val="0"/>
          <w:numId w:val="11"/>
        </w:numPr>
        <w:suppressAutoHyphens/>
        <w:spacing w:line="276" w:lineRule="auto"/>
        <w:contextualSpacing w:val="0"/>
        <w:jc w:val="both"/>
        <w:rPr>
          <w:rFonts w:eastAsia="Calibri"/>
          <w:sz w:val="24"/>
          <w:szCs w:val="24"/>
        </w:rPr>
      </w:pPr>
      <w:r>
        <w:rPr>
          <w:rFonts w:eastAsia="Calibri"/>
          <w:sz w:val="24"/>
          <w:szCs w:val="24"/>
        </w:rPr>
        <w:t>os danos que dela provierem para a Contratante;</w:t>
      </w:r>
    </w:p>
    <w:p w14:paraId="562814E1">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 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14:paraId="5AB5D6ED">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As sanções de impedimento de licitar e contratar e declaração de inidoneidade para licitar ou contratar são passíveis de reabilitação na forma do art. 163 da Lei nº 14.133/21.</w:t>
      </w:r>
    </w:p>
    <w:p w14:paraId="0D031E1D">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A inexecução do objeto deste Termo de Referência, total ou parcialmente, poderá ensejar a rescisão contratual, na forma dos artigos 137, 138, 139 e 155 da Lei nº 14.133/2021, com as consequências previstas em lei e neste instrumento;</w:t>
      </w:r>
    </w:p>
    <w:p w14:paraId="4BA6F41C">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A rescisão unilateral do Contrato a ser firmado poderá ser determinada pela FEMAR, de acordo com o inciso I do art. 138 da Lei nº 14.133/2021, com as consequências elencadas no art. 139 do referido diploma legal e sem prejuízo das demais sanções impostas pela lei e por esse Termo de Referência;</w:t>
      </w:r>
    </w:p>
    <w:p w14:paraId="5EEFAB24">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Constituem motivo para rescisão do Contrato, todos os incisos constantes do art. 137 da Lei nº 14.133/2021;</w:t>
      </w:r>
    </w:p>
    <w:p w14:paraId="2B855D2B">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As formas de rescisão estão previstas no art. 138, Incisos de I a III, da Lei nº 14.133/2021;</w:t>
      </w:r>
    </w:p>
    <w:p w14:paraId="36541356">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Os casos omissos de rescisão contratual serão formalmente motivados nos autos do processo, assegurado o contraditório e a ampla defesa;</w:t>
      </w:r>
    </w:p>
    <w:p w14:paraId="5276A67A">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A rescisão determinada por ato unilateral e escrita pela Administração, nos casos enumerados nos Incisos I a III do art. 137, da Lei nº 14.133/2021, acarreta as consequências previstas nos Incisos II e IV do art. 156, do mesmo diploma legal, sem prejuízo das demais sanções previstas; nos casos previstos nos Incisos I, II, III, IV e V, § 2º do art. 137, e, V e VII do mesmo artigo, será observado o disposto no § 2º do art. 138;</w:t>
      </w:r>
    </w:p>
    <w:p w14:paraId="2CDD872A">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Os casos de rescisão contratual serão formalmente motivados nos autos, assegurados o contraditório e a ampla defesa;</w:t>
      </w:r>
    </w:p>
    <w:p w14:paraId="49971EDD">
      <w:pPr>
        <w:pStyle w:val="99"/>
        <w:numPr>
          <w:ilvl w:val="1"/>
          <w:numId w:val="10"/>
        </w:numPr>
        <w:spacing w:line="360" w:lineRule="auto"/>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A rescisão administrativa ou amigável será precedida de autorização escrita e fundamentada da autoridade competente;</w:t>
      </w:r>
    </w:p>
    <w:p w14:paraId="4587DE80">
      <w:pPr>
        <w:pStyle w:val="61"/>
        <w:keepNext/>
        <w:keepLines/>
        <w:numPr>
          <w:ilvl w:val="0"/>
          <w:numId w:val="12"/>
        </w:numPr>
        <w:tabs>
          <w:tab w:val="left" w:pos="567"/>
        </w:tabs>
        <w:spacing w:before="120" w:after="288" w:afterLines="120" w:line="276" w:lineRule="auto"/>
        <w:jc w:val="both"/>
        <w:outlineLvl w:val="0"/>
        <w:rPr>
          <w:sz w:val="24"/>
          <w:szCs w:val="24"/>
        </w:rPr>
      </w:pPr>
      <w:r>
        <w:rPr>
          <w:b/>
          <w:bCs/>
          <w:sz w:val="24"/>
          <w:szCs w:val="24"/>
        </w:rPr>
        <w:t xml:space="preserve">DO FORO </w:t>
      </w:r>
    </w:p>
    <w:p w14:paraId="086FA2A7">
      <w:pPr>
        <w:pStyle w:val="61"/>
        <w:keepNext/>
        <w:keepLines/>
        <w:tabs>
          <w:tab w:val="left" w:pos="567"/>
        </w:tabs>
        <w:spacing w:before="120" w:after="288" w:afterLines="120" w:line="276" w:lineRule="auto"/>
        <w:jc w:val="both"/>
        <w:outlineLvl w:val="0"/>
        <w:rPr>
          <w:sz w:val="24"/>
          <w:szCs w:val="24"/>
        </w:rPr>
      </w:pPr>
    </w:p>
    <w:p w14:paraId="3DBFA574">
      <w:pPr>
        <w:pStyle w:val="61"/>
        <w:keepNext/>
        <w:keepLines/>
        <w:tabs>
          <w:tab w:val="left" w:pos="567"/>
        </w:tabs>
        <w:spacing w:before="120" w:after="288" w:afterLines="120" w:line="360" w:lineRule="auto"/>
        <w:ind w:left="0"/>
        <w:jc w:val="both"/>
        <w:outlineLvl w:val="0"/>
        <w:rPr>
          <w:rFonts w:eastAsia="Calibri"/>
          <w:sz w:val="24"/>
          <w:szCs w:val="24"/>
        </w:rPr>
      </w:pPr>
      <w:r>
        <w:rPr>
          <w:b/>
          <w:bCs/>
          <w:sz w:val="24"/>
          <w:szCs w:val="24"/>
        </w:rPr>
        <w:t>17.1</w:t>
      </w:r>
      <w:r>
        <w:rPr>
          <w:sz w:val="24"/>
          <w:szCs w:val="24"/>
        </w:rPr>
        <w:t xml:space="preserve"> - Ficará eleito o Foro da Comarca de Valença – RJ, para dirimir quaisquer questões decorrentes deste Termo de Referência, assim como do respectivo contrato, renunciando as partes, a qualquer outro, por mais privilegiado que seja.</w:t>
      </w:r>
    </w:p>
    <w:p w14:paraId="7C3B233C">
      <w:pPr>
        <w:pBdr>
          <w:top w:val="none" w:color="auto" w:sz="0" w:space="0"/>
          <w:left w:val="none" w:color="auto" w:sz="0" w:space="0"/>
          <w:bottom w:val="none" w:color="auto" w:sz="0" w:space="0"/>
          <w:right w:val="none" w:color="auto" w:sz="0" w:space="0"/>
          <w:between w:val="none" w:color="auto" w:sz="0" w:space="0"/>
        </w:pBdr>
        <w:tabs>
          <w:tab w:val="left" w:pos="567"/>
          <w:tab w:val="left" w:pos="854"/>
          <w:tab w:val="left" w:pos="1154"/>
          <w:tab w:val="left" w:pos="1409"/>
          <w:tab w:val="left" w:pos="1664"/>
          <w:tab w:val="left" w:pos="1979"/>
          <w:tab w:val="left" w:pos="2234"/>
          <w:tab w:val="left" w:pos="7350"/>
        </w:tabs>
        <w:spacing w:before="120" w:after="120" w:line="360" w:lineRule="auto"/>
        <w:ind w:left="11"/>
        <w:jc w:val="center"/>
        <w:rPr>
          <w:color w:val="000000"/>
          <w:sz w:val="24"/>
          <w:szCs w:val="24"/>
        </w:rPr>
      </w:pPr>
      <w:r>
        <w:rPr>
          <w:color w:val="000000"/>
          <w:sz w:val="24"/>
          <w:szCs w:val="24"/>
        </w:rPr>
        <w:t>Valença, 07 de janeiro de 2026.</w:t>
      </w:r>
    </w:p>
    <w:p w14:paraId="03C3BBAC">
      <w:pPr>
        <w:pBdr>
          <w:top w:val="none" w:color="auto" w:sz="0" w:space="0"/>
          <w:left w:val="none" w:color="auto" w:sz="0" w:space="0"/>
          <w:bottom w:val="none" w:color="auto" w:sz="0" w:space="0"/>
          <w:right w:val="none" w:color="auto" w:sz="0" w:space="0"/>
          <w:between w:val="none" w:color="auto" w:sz="0" w:space="0"/>
        </w:pBdr>
        <w:tabs>
          <w:tab w:val="left" w:pos="567"/>
          <w:tab w:val="left" w:pos="854"/>
          <w:tab w:val="left" w:pos="1154"/>
          <w:tab w:val="left" w:pos="1409"/>
          <w:tab w:val="left" w:pos="1664"/>
          <w:tab w:val="left" w:pos="1979"/>
          <w:tab w:val="left" w:pos="2234"/>
          <w:tab w:val="left" w:pos="7350"/>
        </w:tabs>
        <w:spacing w:before="120" w:after="120" w:line="360" w:lineRule="auto"/>
        <w:ind w:left="11"/>
        <w:jc w:val="center"/>
        <w:rPr>
          <w:color w:val="000000"/>
          <w:sz w:val="24"/>
          <w:szCs w:val="24"/>
        </w:rPr>
      </w:pPr>
    </w:p>
    <w:p w14:paraId="0703672A">
      <w:pPr>
        <w:pBdr>
          <w:top w:val="none" w:color="auto" w:sz="0" w:space="0"/>
          <w:left w:val="none" w:color="auto" w:sz="0" w:space="0"/>
          <w:bottom w:val="none" w:color="auto" w:sz="0" w:space="0"/>
          <w:right w:val="none" w:color="auto" w:sz="0" w:space="0"/>
          <w:between w:val="none" w:color="auto" w:sz="0" w:space="0"/>
        </w:pBdr>
        <w:tabs>
          <w:tab w:val="left" w:pos="567"/>
          <w:tab w:val="left" w:pos="854"/>
          <w:tab w:val="left" w:pos="1154"/>
          <w:tab w:val="left" w:pos="1409"/>
          <w:tab w:val="left" w:pos="1664"/>
          <w:tab w:val="left" w:pos="1979"/>
          <w:tab w:val="left" w:pos="2234"/>
          <w:tab w:val="left" w:pos="7350"/>
        </w:tabs>
        <w:spacing w:before="120" w:after="120" w:line="360" w:lineRule="auto"/>
        <w:ind w:left="11"/>
        <w:rPr>
          <w:sz w:val="24"/>
          <w:szCs w:val="24"/>
        </w:rPr>
      </w:pPr>
      <w:r>
        <w:rPr>
          <w:b/>
          <w:bCs/>
          <w:color w:val="000000"/>
          <w:sz w:val="24"/>
          <w:szCs w:val="24"/>
        </w:rPr>
        <w:t xml:space="preserve">Elaborado por: </w:t>
      </w:r>
      <w:r>
        <w:rPr>
          <w:sz w:val="24"/>
          <w:szCs w:val="24"/>
        </w:rPr>
        <w:t>PAULO EDUARDO DE OLIVEIRA LACERDA PAIVA, DIRETOR DA DIV. DE TRANSPORTE/SMS</w:t>
      </w:r>
    </w:p>
    <w:p w14:paraId="28997A25">
      <w:pPr>
        <w:pBdr>
          <w:top w:val="none" w:color="auto" w:sz="0" w:space="0"/>
          <w:left w:val="none" w:color="auto" w:sz="0" w:space="0"/>
          <w:bottom w:val="none" w:color="auto" w:sz="0" w:space="0"/>
          <w:right w:val="none" w:color="auto" w:sz="0" w:space="0"/>
          <w:between w:val="none" w:color="auto" w:sz="0" w:space="0"/>
        </w:pBdr>
        <w:tabs>
          <w:tab w:val="left" w:pos="567"/>
          <w:tab w:val="left" w:pos="854"/>
          <w:tab w:val="left" w:pos="1154"/>
          <w:tab w:val="left" w:pos="1409"/>
          <w:tab w:val="left" w:pos="1664"/>
          <w:tab w:val="left" w:pos="1979"/>
          <w:tab w:val="left" w:pos="2234"/>
          <w:tab w:val="left" w:pos="7350"/>
        </w:tabs>
        <w:spacing w:before="120" w:after="120" w:line="360" w:lineRule="auto"/>
        <w:ind w:left="11"/>
        <w:rPr>
          <w:b/>
          <w:bCs/>
          <w:color w:val="000000"/>
          <w:sz w:val="24"/>
          <w:szCs w:val="24"/>
        </w:rPr>
      </w:pPr>
    </w:p>
    <w:p w14:paraId="22EFA6A6">
      <w:pPr>
        <w:pBdr>
          <w:top w:val="none" w:color="auto" w:sz="0" w:space="0"/>
          <w:left w:val="none" w:color="auto" w:sz="0" w:space="0"/>
          <w:bottom w:val="none" w:color="auto" w:sz="0" w:space="0"/>
          <w:right w:val="none" w:color="auto" w:sz="0" w:space="0"/>
          <w:between w:val="none" w:color="auto" w:sz="0" w:space="0"/>
        </w:pBdr>
        <w:tabs>
          <w:tab w:val="left" w:pos="567"/>
          <w:tab w:val="left" w:pos="854"/>
          <w:tab w:val="left" w:pos="1154"/>
          <w:tab w:val="left" w:pos="1409"/>
          <w:tab w:val="left" w:pos="1664"/>
          <w:tab w:val="left" w:pos="1979"/>
          <w:tab w:val="left" w:pos="2234"/>
          <w:tab w:val="left" w:pos="3525"/>
        </w:tabs>
        <w:spacing w:line="360" w:lineRule="auto"/>
        <w:ind w:left="14"/>
        <w:jc w:val="both"/>
        <w:rPr>
          <w:b/>
          <w:color w:val="000000"/>
          <w:sz w:val="24"/>
          <w:szCs w:val="24"/>
        </w:rPr>
      </w:pPr>
      <w:r>
        <w:rPr>
          <w:b/>
          <w:color w:val="000000"/>
          <w:sz w:val="24"/>
          <w:szCs w:val="24"/>
        </w:rPr>
        <w:t xml:space="preserve">Responsável: </w:t>
      </w:r>
      <w:r>
        <w:rPr>
          <w:bCs/>
          <w:color w:val="000000"/>
          <w:sz w:val="24"/>
          <w:szCs w:val="24"/>
        </w:rPr>
        <w:t>RAFAEL DE OLIVEIRA TAVARES, SECRETÁRIO MUNICIPAL DE SAÚDE</w:t>
      </w:r>
      <w:r>
        <w:rPr>
          <w:b/>
          <w:color w:val="000000"/>
          <w:sz w:val="24"/>
          <w:szCs w:val="24"/>
        </w:rPr>
        <w:t xml:space="preserve"> </w:t>
      </w:r>
    </w:p>
    <w:p w14:paraId="03400F56">
      <w:pPr>
        <w:spacing w:before="288" w:beforeLines="120" w:after="288" w:afterLines="120" w:line="288" w:lineRule="auto"/>
        <w:rPr>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u w:val="single"/>
        </w:rPr>
        <w:t>ESTUDO TÉCNICO PRELIMINAR</w:t>
      </w:r>
    </w:p>
    <w:p w14:paraId="4308E379">
      <w:pPr>
        <w:ind w:left="284"/>
        <w:jc w:val="center"/>
        <w:rPr>
          <w:b/>
          <w:sz w:val="24"/>
          <w:szCs w:val="24"/>
          <w:u w:val="single"/>
        </w:rPr>
      </w:pP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75D33B69">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1. INTRODUÇÃO</w:t>
      </w:r>
    </w:p>
    <w:p w14:paraId="439B2727">
      <w:pPr>
        <w:pStyle w:val="20"/>
        <w:ind w:left="5" w:right="109"/>
        <w:jc w:val="center"/>
        <w:rPr>
          <w:rFonts w:ascii="Times New Roman" w:hAnsi="Times New Roman" w:cs="Times New Roman" w:eastAsiaTheme="minorHAnsi"/>
          <w:lang w:val="pt-BR"/>
        </w:rPr>
      </w:pPr>
    </w:p>
    <w:p w14:paraId="3239CE52">
      <w:pPr>
        <w:pStyle w:val="20"/>
        <w:ind w:left="5" w:right="109"/>
        <w:rPr>
          <w:rFonts w:ascii="Times New Roman" w:hAnsi="Times New Roman" w:cs="Times New Roman" w:eastAsiaTheme="minorHAnsi"/>
          <w:lang w:val="pt-BR"/>
        </w:rPr>
      </w:pPr>
      <w:r>
        <w:rPr>
          <w:rFonts w:ascii="Times New Roman" w:hAnsi="Times New Roman" w:cs="Times New Roman" w:eastAsiaTheme="minorHAnsi"/>
          <w:b/>
          <w:bCs/>
          <w:lang w:val="pt-BR"/>
        </w:rPr>
        <w:t>1.1-</w:t>
      </w:r>
      <w:r>
        <w:rPr>
          <w:rFonts w:ascii="Times New Roman" w:hAnsi="Times New Roman" w:cs="Times New Roman" w:eastAsiaTheme="minorHAnsi"/>
          <w:lang w:val="pt-BR"/>
        </w:rPr>
        <w:t xml:space="preserve"> O presente ESTUDO TÉCNICO PRELIMINAR (ETP), enquanto elemento essencial ao planejamento do suprimento governamental, ao cumprir as determinações legais relacionadas à sua elaboração, auxilia na elaboração do competente Termo de Referência (TR) e dos demais documentos integrantes do processo de aquisição.</w:t>
      </w:r>
    </w:p>
    <w:p w14:paraId="6EAD00BE">
      <w:pPr>
        <w:pStyle w:val="20"/>
        <w:ind w:left="5" w:right="109"/>
        <w:rPr>
          <w:rFonts w:ascii="Times New Roman" w:hAnsi="Times New Roman" w:cs="Times New Roman" w:eastAsiaTheme="minorHAnsi"/>
          <w:lang w:val="pt-BR"/>
        </w:rPr>
      </w:pPr>
    </w:p>
    <w:p w14:paraId="7E027ADF">
      <w:pPr>
        <w:pStyle w:val="20"/>
        <w:ind w:left="5" w:right="109"/>
        <w:rPr>
          <w:rFonts w:ascii="Times New Roman" w:hAnsi="Times New Roman" w:cs="Times New Roman" w:eastAsiaTheme="minorHAnsi"/>
          <w:lang w:val="pt-BR"/>
        </w:rPr>
      </w:pPr>
      <w:r>
        <w:rPr>
          <w:rFonts w:ascii="Times New Roman" w:hAnsi="Times New Roman" w:cs="Times New Roman" w:eastAsiaTheme="minorHAnsi"/>
          <w:b/>
          <w:bCs/>
          <w:lang w:val="pt-BR"/>
        </w:rPr>
        <w:t>1.2</w:t>
      </w:r>
      <w:r>
        <w:rPr>
          <w:rFonts w:ascii="Times New Roman" w:hAnsi="Times New Roman" w:cs="Times New Roman" w:eastAsiaTheme="minorHAnsi"/>
          <w:lang w:val="pt-BR"/>
        </w:rPr>
        <w:t>- Vê-se, assim, que as finalidades do ETP estão dirigidas, dentre outras, a analisar a viabilidade técnica da almejada aquisição, bem assim avaliar todos os aspectos necessários e suficientes à aquisição.</w:t>
      </w:r>
    </w:p>
    <w:p w14:paraId="4030B4F9">
      <w:pPr>
        <w:pStyle w:val="20"/>
        <w:ind w:left="5" w:right="109"/>
        <w:rPr>
          <w:rFonts w:ascii="Times New Roman" w:hAnsi="Times New Roman" w:cs="Times New Roman" w:eastAsiaTheme="minorHAnsi"/>
          <w:lang w:val="pt-BR"/>
        </w:rPr>
      </w:pPr>
    </w:p>
    <w:p w14:paraId="279B86F4">
      <w:pPr>
        <w:pStyle w:val="20"/>
        <w:ind w:left="5" w:right="109"/>
        <w:rPr>
          <w:rFonts w:ascii="Times New Roman" w:hAnsi="Times New Roman" w:cs="Times New Roman" w:eastAsiaTheme="minorHAnsi"/>
          <w:lang w:val="pt-BR"/>
        </w:rPr>
      </w:pPr>
      <w:r>
        <w:rPr>
          <w:rFonts w:ascii="Times New Roman" w:hAnsi="Times New Roman" w:cs="Times New Roman" w:eastAsiaTheme="minorHAnsi"/>
          <w:b/>
          <w:bCs/>
          <w:lang w:val="pt-BR"/>
        </w:rPr>
        <w:t>1.3-</w:t>
      </w:r>
      <w:r>
        <w:rPr>
          <w:rFonts w:ascii="Times New Roman" w:hAnsi="Times New Roman" w:cs="Times New Roman" w:eastAsiaTheme="minorHAnsi"/>
          <w:lang w:val="pt-BR"/>
        </w:rPr>
        <w:t xml:space="preserve"> O papel do ETP (não obstante previsão legal) tem respaldo na doutrina administrativista brasileira, conforme diz a Professora Tatiana Camarão:</w:t>
      </w:r>
    </w:p>
    <w:p w14:paraId="149517F5">
      <w:pPr>
        <w:pStyle w:val="20"/>
        <w:ind w:left="5" w:right="109"/>
        <w:rPr>
          <w:rFonts w:ascii="Times New Roman" w:hAnsi="Times New Roman" w:cs="Times New Roman" w:eastAsiaTheme="minorHAnsi"/>
          <w:lang w:val="pt-BR"/>
        </w:rPr>
      </w:pPr>
    </w:p>
    <w:p w14:paraId="36C4D943">
      <w:pPr>
        <w:pStyle w:val="20"/>
        <w:ind w:left="5" w:right="109"/>
        <w:rPr>
          <w:rFonts w:ascii="Times New Roman" w:hAnsi="Times New Roman" w:cs="Times New Roman" w:eastAsiaTheme="minorHAnsi"/>
          <w:lang w:val="pt-BR"/>
        </w:rPr>
      </w:pPr>
      <w:r>
        <w:rPr>
          <w:rFonts w:ascii="Times New Roman" w:hAnsi="Times New Roman" w:cs="Times New Roman" w:eastAsiaTheme="minorHAnsi"/>
          <w:lang w:val="pt-BR"/>
        </w:rPr>
        <w:t>Entende-se que um dos principais documentos da etapa de planejamento é o Estudo Técnico Preliminar (ETP), o qual se destina a identificar e analisar a necessidade pungente projetada pela unidade administrativa ao realizar o seu planejamento estratégico e o plano anual de aquisição, buscando evidenciar o problema a ser resolvido, assim como as soluções possíveis, com fins de avaliar as informações necessárias para subsidiar o respectivo processo de aquisição. Nota-se, portanto, que o ETP assume função estratégica na engrenagem das contratações públicas, pois pavimenta o caminho para o atendimento da demanda ao avaliar os cenários possíveis e demonstrar a viabilidade técnica e econômica das soluções disponíveis. Em decorrência disto, esse documento vem sendo exigido em vários normativos e trouxe à tona dúvidas em relação à sua produção, conteúdo, momento adequado para sua elaboração e aplicabilidade nas contratações públicas.</w:t>
      </w:r>
    </w:p>
    <w:p w14:paraId="38CFAF37">
      <w:pPr>
        <w:pStyle w:val="20"/>
        <w:ind w:left="5" w:right="109"/>
        <w:rPr>
          <w:rFonts w:ascii="Times New Roman" w:hAnsi="Times New Roman" w:cs="Times New Roman" w:eastAsiaTheme="minorHAnsi"/>
          <w:lang w:val="pt-BR"/>
        </w:rPr>
      </w:pPr>
    </w:p>
    <w:p w14:paraId="12819C96">
      <w:pPr>
        <w:pStyle w:val="20"/>
        <w:ind w:left="5" w:right="109"/>
        <w:rPr>
          <w:rFonts w:ascii="Times New Roman" w:hAnsi="Times New Roman" w:cs="Times New Roman" w:eastAsiaTheme="minorHAnsi"/>
          <w:lang w:val="pt-BR"/>
        </w:rPr>
      </w:pPr>
      <w:r>
        <w:rPr>
          <w:rFonts w:ascii="Times New Roman" w:hAnsi="Times New Roman" w:cs="Times New Roman" w:eastAsiaTheme="minorHAnsi"/>
          <w:b/>
          <w:bCs/>
          <w:lang w:val="pt-BR" w:eastAsia="pt-BR"/>
        </w:rPr>
        <mc:AlternateContent>
          <mc:Choice Requires="wps">
            <w:drawing>
              <wp:anchor distT="0" distB="0" distL="0" distR="0" simplePos="0" relativeHeight="251660288" behindDoc="1" locked="0" layoutInCell="1" allowOverlap="1">
                <wp:simplePos x="0" y="0"/>
                <wp:positionH relativeFrom="page">
                  <wp:posOffset>1080770</wp:posOffset>
                </wp:positionH>
                <wp:positionV relativeFrom="paragraph">
                  <wp:posOffset>168910</wp:posOffset>
                </wp:positionV>
                <wp:extent cx="5761990" cy="704215"/>
                <wp:effectExtent l="0" t="0" r="0" b="0"/>
                <wp:wrapNone/>
                <wp:docPr id="4" name="Forma Livre: Forma 5"/>
                <wp:cNvGraphicFramePr/>
                <a:graphic xmlns:a="http://schemas.openxmlformats.org/drawingml/2006/main">
                  <a:graphicData uri="http://schemas.microsoft.com/office/word/2010/wordprocessingShape">
                    <wps:wsp>
                      <wps:cNvSpPr/>
                      <wps:spPr>
                        <a:xfrm>
                          <a:off x="0" y="0"/>
                          <a:ext cx="5761990" cy="704215"/>
                        </a:xfrm>
                        <a:custGeom>
                          <a:avLst/>
                          <a:gdLst/>
                          <a:ahLst/>
                          <a:cxnLst/>
                          <a:rect l="l" t="t" r="r" b="b"/>
                          <a:pathLst>
                            <a:path w="5761990" h="704215">
                              <a:moveTo>
                                <a:pt x="5761609" y="0"/>
                              </a:moveTo>
                              <a:lnTo>
                                <a:pt x="0" y="0"/>
                              </a:lnTo>
                              <a:lnTo>
                                <a:pt x="0" y="175260"/>
                              </a:lnTo>
                              <a:lnTo>
                                <a:pt x="0" y="179832"/>
                              </a:lnTo>
                              <a:lnTo>
                                <a:pt x="0" y="704088"/>
                              </a:lnTo>
                              <a:lnTo>
                                <a:pt x="2808986" y="704088"/>
                              </a:lnTo>
                              <a:lnTo>
                                <a:pt x="2808986" y="530352"/>
                              </a:lnTo>
                              <a:lnTo>
                                <a:pt x="5761609" y="530352"/>
                              </a:lnTo>
                              <a:lnTo>
                                <a:pt x="5761609" y="355092"/>
                              </a:lnTo>
                              <a:lnTo>
                                <a:pt x="5761609" y="350520"/>
                              </a:lnTo>
                              <a:lnTo>
                                <a:pt x="5761609" y="179832"/>
                              </a:lnTo>
                              <a:lnTo>
                                <a:pt x="5761609" y="175260"/>
                              </a:lnTo>
                              <a:lnTo>
                                <a:pt x="5761609" y="0"/>
                              </a:lnTo>
                              <a:close/>
                            </a:path>
                          </a:pathLst>
                        </a:custGeom>
                        <a:solidFill>
                          <a:srgbClr val="FFFFFF"/>
                        </a:solidFill>
                      </wps:spPr>
                      <wps:bodyPr wrap="square" lIns="0" tIns="0" rIns="0" bIns="0" rtlCol="0">
                        <a:noAutofit/>
                      </wps:bodyPr>
                    </wps:wsp>
                  </a:graphicData>
                </a:graphic>
              </wp:anchor>
            </w:drawing>
          </mc:Choice>
          <mc:Fallback>
            <w:pict>
              <v:shape id="Forma Livre: Forma 5" o:spid="_x0000_s1026" o:spt="100" style="position:absolute;left:0pt;margin-left:85.1pt;margin-top:13.3pt;height:55.45pt;width:453.7pt;mso-position-horizontal-relative:page;z-index:-251656192;mso-width-relative:page;mso-height-relative:page;" fillcolor="#FFFFFF" filled="t" stroked="f" coordsize="5761990,704215" o:gfxdata="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aiAM2AAAAAsBAAAPAAAAAAAAAAEAIAAAACIAAABkcnMvZG93bnJldi54bWxQ&#10;SwECFAAUAAAACACHTuJA89pppWkCAABbBgAADgAAAAAAAAABACAAAAAnAQAAZHJzL2Uyb0RvYy54&#10;bWxQSwUGAAAAAAYABgBZAQAAAgYAAAAA&#10;" path="m5761609,0l0,0,0,175260,0,179832,0,704088,2808986,704088,2808986,530352,5761609,530352,5761609,355092,5761609,350520,5761609,179832,5761609,175260,5761609,0xe">
                <v:fill on="t" focussize="0,0"/>
                <v:stroke on="f"/>
                <v:imagedata o:title=""/>
                <o:lock v:ext="edit" aspectratio="f"/>
                <v:textbox inset="0mm,0mm,0mm,0mm"/>
              </v:shape>
            </w:pict>
          </mc:Fallback>
        </mc:AlternateContent>
      </w:r>
      <w:r>
        <w:rPr>
          <w:rFonts w:ascii="Times New Roman" w:hAnsi="Times New Roman" w:cs="Times New Roman" w:eastAsiaTheme="minorHAnsi"/>
          <w:b/>
          <w:bCs/>
          <w:lang w:val="pt-BR"/>
        </w:rPr>
        <w:t xml:space="preserve">1.4- </w:t>
      </w:r>
      <w:r>
        <w:rPr>
          <w:rFonts w:ascii="Times New Roman" w:hAnsi="Times New Roman" w:cs="Times New Roman" w:eastAsiaTheme="minorHAnsi"/>
          <w:lang w:val="pt-BR"/>
        </w:rPr>
        <w:t>O Estudo Técnico Preliminar tem por objetivo identificar e analisar os cenários para o atendimento da demanda que consta no Documento de Oficialização da Demanda, bem como demonstrar a viabilidade técnica e econômica das soluções identificadas, fornecendo as informações necessárias para subsidiar o respectivo processo de aquisição.</w:t>
      </w:r>
    </w:p>
    <w:p w14:paraId="1160E489">
      <w:pPr>
        <w:pStyle w:val="20"/>
        <w:ind w:left="5" w:right="109"/>
        <w:rPr>
          <w:rFonts w:ascii="Times New Roman" w:hAnsi="Times New Roman" w:cs="Times New Roman" w:eastAsiaTheme="minorHAnsi"/>
          <w:lang w:val="pt-BR"/>
        </w:rPr>
      </w:pPr>
    </w:p>
    <w:p w14:paraId="4D2C1E88">
      <w:pPr>
        <w:pStyle w:val="20"/>
        <w:ind w:left="5" w:right="109"/>
        <w:rPr>
          <w:rFonts w:ascii="Times New Roman" w:hAnsi="Times New Roman" w:cs="Times New Roman" w:eastAsiaTheme="minorHAnsi"/>
          <w:lang w:val="pt-BR"/>
        </w:rPr>
      </w:pPr>
      <w:r>
        <w:rPr>
          <w:rFonts w:ascii="Times New Roman" w:hAnsi="Times New Roman" w:cs="Times New Roman" w:eastAsiaTheme="minorHAnsi"/>
          <w:b/>
          <w:bCs/>
          <w:lang w:val="pt-BR"/>
        </w:rPr>
        <w:t xml:space="preserve">1.5- </w:t>
      </w:r>
      <w:r>
        <w:rPr>
          <w:rFonts w:ascii="Times New Roman" w:hAnsi="Times New Roman" w:cs="Times New Roman" w:eastAsiaTheme="minorHAnsi"/>
          <w:lang w:val="pt-BR"/>
        </w:rPr>
        <w:t>Não por outro motivo, aliás, disciplina o § 1º do artigo 18 da Lei n. 1.4133/2021 quanto à própria função do ETP (atenção especial para os destaques que não constam do original):</w:t>
      </w:r>
    </w:p>
    <w:p w14:paraId="309C1B2D">
      <w:pPr>
        <w:pStyle w:val="20"/>
        <w:ind w:left="5" w:right="109"/>
        <w:rPr>
          <w:rFonts w:ascii="Times New Roman" w:hAnsi="Times New Roman" w:cs="Times New Roman" w:eastAsiaTheme="minorHAnsi"/>
          <w:lang w:val="pt-BR"/>
        </w:rPr>
      </w:pPr>
    </w:p>
    <w:p w14:paraId="6FCB6A08">
      <w:pPr>
        <w:pStyle w:val="20"/>
        <w:ind w:left="708" w:right="109"/>
        <w:rPr>
          <w:rFonts w:ascii="Times New Roman" w:hAnsi="Times New Roman" w:cs="Times New Roman" w:eastAsiaTheme="minorHAnsi"/>
          <w:lang w:val="pt-BR"/>
        </w:rPr>
      </w:pPr>
      <w:r>
        <w:rPr>
          <w:rFonts w:ascii="Times New Roman" w:hAnsi="Times New Roman" w:cs="Times New Roman" w:eastAsiaTheme="minorHAnsi"/>
          <w:lang w:val="pt-BR"/>
        </w:rPr>
        <w:t>Art. 18. A fase preparatória do processo licitatório é caracterizada pelo planejamento e deve compatibilizar-se com o plano de contratações anual de que trata o inciso VII do caput do art. 12 desta Lei, sempre que elaborado, e com as leis orçamentárias, bem como abordar todas as considerações técnicas, mercadológicas e de gestão que podem interferir na aquisição, compreendidos:</w:t>
      </w:r>
    </w:p>
    <w:p w14:paraId="69AFA931">
      <w:pPr>
        <w:pStyle w:val="20"/>
        <w:ind w:right="109"/>
        <w:rPr>
          <w:rFonts w:ascii="Times New Roman" w:hAnsi="Times New Roman" w:cs="Times New Roman" w:eastAsiaTheme="minorHAnsi"/>
          <w:lang w:val="pt-BR"/>
        </w:rPr>
      </w:pPr>
    </w:p>
    <w:p w14:paraId="12FAB969">
      <w:pPr>
        <w:pStyle w:val="61"/>
        <w:widowControl w:val="0"/>
        <w:numPr>
          <w:ilvl w:val="0"/>
          <w:numId w:val="13"/>
        </w:numPr>
        <w:tabs>
          <w:tab w:val="left" w:pos="407"/>
          <w:tab w:val="left" w:pos="560"/>
        </w:tabs>
        <w:autoSpaceDE w:val="0"/>
        <w:autoSpaceDN w:val="0"/>
        <w:spacing w:before="96"/>
        <w:ind w:right="331" w:hanging="339"/>
        <w:contextualSpacing w:val="0"/>
        <w:jc w:val="both"/>
        <w:rPr>
          <w:rFonts w:eastAsiaTheme="minorHAnsi"/>
          <w:sz w:val="24"/>
          <w:szCs w:val="24"/>
        </w:rPr>
      </w:pPr>
      <w:r>
        <w:rPr>
          <w:rFonts w:eastAsiaTheme="minorHAnsi"/>
          <w:sz w:val="24"/>
          <w:szCs w:val="24"/>
        </w:rPr>
        <w:t>TCU. Acórdão 1273/2007-Plenário. Relatório de Levantamento. Relator Min. Ubiratan Aguiar. Sessão de julgamento em 27.06.2007. Enunciado: “Os estudos técnicos preliminares devem demonstrar a viabilidade técnica a partir de todos os elementos necessários e suficientes, com nível de precisão adequado para caracterizar a obra, com indicações dos estudos técnicos e ambientais, avaliação do seu custo, definição dos métodos e do prazo de execução.”</w:t>
      </w:r>
    </w:p>
    <w:p w14:paraId="37A7A73E">
      <w:pPr>
        <w:tabs>
          <w:tab w:val="left" w:pos="407"/>
          <w:tab w:val="left" w:pos="560"/>
        </w:tabs>
        <w:ind w:right="334"/>
        <w:rPr>
          <w:sz w:val="24"/>
          <w:szCs w:val="24"/>
        </w:rPr>
      </w:pPr>
    </w:p>
    <w:p w14:paraId="35C7D4E8">
      <w:pPr>
        <w:tabs>
          <w:tab w:val="left" w:pos="407"/>
          <w:tab w:val="left" w:pos="560"/>
        </w:tabs>
        <w:ind w:right="334"/>
        <w:rPr>
          <w:sz w:val="24"/>
          <w:szCs w:val="24"/>
        </w:rPr>
      </w:pPr>
    </w:p>
    <w:p w14:paraId="4E3FAAE3">
      <w:pPr>
        <w:tabs>
          <w:tab w:val="left" w:pos="407"/>
          <w:tab w:val="left" w:pos="560"/>
        </w:tabs>
        <w:ind w:right="334"/>
        <w:rPr>
          <w:sz w:val="24"/>
          <w:szCs w:val="24"/>
        </w:rPr>
      </w:pPr>
    </w:p>
    <w:p w14:paraId="7B8BA1CD">
      <w:pPr>
        <w:tabs>
          <w:tab w:val="left" w:pos="407"/>
          <w:tab w:val="left" w:pos="560"/>
        </w:tabs>
        <w:ind w:left="407" w:right="334"/>
        <w:rPr>
          <w:sz w:val="24"/>
          <w:szCs w:val="24"/>
        </w:rPr>
      </w:pPr>
      <w:r>
        <w:rPr>
          <w:sz w:val="24"/>
          <w:szCs w:val="24"/>
        </w:rPr>
        <w:t xml:space="preserve">2 CAMARÃO, Tatiana. Estudo Técnico Preliminar: arquitetura, conteúdo e obrigatoriedade. Disponível em: </w:t>
      </w:r>
      <w:r>
        <w:fldChar w:fldCharType="begin"/>
      </w:r>
      <w:r>
        <w:instrText xml:space="preserve"> HYPERLINK "http://www.novaleilicitacao.com.br/2020/01/03/estudo-tecnico-preliminar-arquitetura-conteudo-" </w:instrText>
      </w:r>
      <w:r>
        <w:fldChar w:fldCharType="separate"/>
      </w:r>
      <w:r>
        <w:rPr>
          <w:rStyle w:val="16"/>
          <w:sz w:val="24"/>
          <w:szCs w:val="24"/>
        </w:rPr>
        <w:t>http://www.novaleilicitacao.com.br/2020/01/03/estudo-tecnico-preliminar-arquitetura-conteudo-</w:t>
      </w:r>
      <w:r>
        <w:rPr>
          <w:rStyle w:val="16"/>
          <w:sz w:val="24"/>
          <w:szCs w:val="24"/>
        </w:rPr>
        <w:fldChar w:fldCharType="end"/>
      </w:r>
      <w:r>
        <w:rPr>
          <w:sz w:val="24"/>
          <w:szCs w:val="24"/>
        </w:rPr>
        <w:t xml:space="preserve"> obrigatoriedade-e-a-previsao-no-pl1292-95/.</w:t>
      </w:r>
    </w:p>
    <w:p w14:paraId="36CB1F6C">
      <w:pPr>
        <w:pStyle w:val="20"/>
        <w:ind w:right="109"/>
        <w:rPr>
          <w:rFonts w:ascii="Times New Roman" w:hAnsi="Times New Roman" w:cs="Times New Roman" w:eastAsiaTheme="minorHAnsi"/>
          <w:lang w:val="pt-BR"/>
        </w:rPr>
      </w:pPr>
    </w:p>
    <w:p w14:paraId="29814615">
      <w:pPr>
        <w:pStyle w:val="20"/>
        <w:ind w:left="1354" w:right="41"/>
        <w:rPr>
          <w:rFonts w:ascii="Times New Roman" w:hAnsi="Times New Roman" w:cs="Times New Roman" w:eastAsiaTheme="minorHAnsi"/>
          <w:lang w:val="pt-BR"/>
        </w:rPr>
      </w:pPr>
      <w:r>
        <w:rPr>
          <w:rFonts w:ascii="Times New Roman" w:hAnsi="Times New Roman" w:cs="Times New Roman" w:eastAsiaTheme="minorHAnsi"/>
          <w:lang w:val="pt-BR"/>
        </w:rPr>
        <w:t>I - a descrição da necessidade da aquisição fundamentada em estudo técnico preliminar que caracterize o interesse público envolvido;</w:t>
      </w:r>
    </w:p>
    <w:p w14:paraId="5F6A50EB">
      <w:pPr>
        <w:spacing w:line="274" w:lineRule="exact"/>
        <w:ind w:left="1354"/>
        <w:rPr>
          <w:sz w:val="24"/>
          <w:szCs w:val="24"/>
        </w:rPr>
      </w:pPr>
      <w:r>
        <w:rPr>
          <w:sz w:val="24"/>
          <w:szCs w:val="24"/>
        </w:rPr>
        <w:t>[...]</w:t>
      </w:r>
    </w:p>
    <w:p w14:paraId="0CAF378B">
      <w:pPr>
        <w:pStyle w:val="20"/>
        <w:ind w:left="1354" w:right="332"/>
        <w:rPr>
          <w:rFonts w:ascii="Times New Roman" w:hAnsi="Times New Roman" w:cs="Times New Roman" w:eastAsiaTheme="minorHAnsi"/>
          <w:lang w:val="pt-BR"/>
        </w:rPr>
      </w:pPr>
      <w:r>
        <w:rPr>
          <w:rFonts w:ascii="Times New Roman" w:hAnsi="Times New Roman" w:cs="Times New Roman" w:eastAsiaTheme="minorHAnsi"/>
          <w:lang w:val="pt-BR"/>
        </w:rPr>
        <w:t>§ 1º. O estudo técnico preliminar a que se refere o inciso I do caput deste artigo deverá evidenciar o problema a ser resolvido e a sua melhor solução, de modo a permitir a avaliação da viabilidade técnica e econômica da aquisição, e conterá os seguintes elementos:</w:t>
      </w:r>
    </w:p>
    <w:p w14:paraId="38F27FC0">
      <w:pPr>
        <w:pStyle w:val="61"/>
        <w:widowControl w:val="0"/>
        <w:numPr>
          <w:ilvl w:val="0"/>
          <w:numId w:val="14"/>
        </w:numPr>
        <w:tabs>
          <w:tab w:val="left" w:pos="1476"/>
        </w:tabs>
        <w:autoSpaceDE w:val="0"/>
        <w:autoSpaceDN w:val="0"/>
        <w:ind w:right="336" w:firstLine="0"/>
        <w:contextualSpacing w:val="0"/>
        <w:jc w:val="both"/>
        <w:rPr>
          <w:rFonts w:eastAsiaTheme="minorHAnsi"/>
          <w:sz w:val="24"/>
          <w:szCs w:val="24"/>
        </w:rPr>
      </w:pPr>
      <w:r>
        <w:rPr>
          <w:rFonts w:eastAsiaTheme="minorHAnsi"/>
          <w:sz w:val="24"/>
          <w:szCs w:val="24"/>
        </w:rPr>
        <w:t>- A descrição da necessidade da aquisição, considerado o problema a ser resolvido sob a perspectiva do interesse público;</w:t>
      </w:r>
    </w:p>
    <w:p w14:paraId="4A1BC1B1">
      <w:pPr>
        <w:pStyle w:val="61"/>
        <w:widowControl w:val="0"/>
        <w:numPr>
          <w:ilvl w:val="0"/>
          <w:numId w:val="14"/>
        </w:numPr>
        <w:tabs>
          <w:tab w:val="left" w:pos="1521"/>
        </w:tabs>
        <w:autoSpaceDE w:val="0"/>
        <w:autoSpaceDN w:val="0"/>
        <w:spacing w:line="237" w:lineRule="auto"/>
        <w:ind w:right="333" w:firstLine="0"/>
        <w:contextualSpacing w:val="0"/>
        <w:jc w:val="both"/>
        <w:rPr>
          <w:rFonts w:eastAsiaTheme="minorHAnsi"/>
          <w:sz w:val="24"/>
          <w:szCs w:val="24"/>
        </w:rPr>
      </w:pPr>
      <w:r>
        <w:rPr>
          <w:rFonts w:eastAsiaTheme="minorHAnsi"/>
          <w:sz w:val="24"/>
          <w:szCs w:val="24"/>
        </w:rPr>
        <w:t>- A demonstração da previsão da aquisição no plano de contratações anual, sempre que elaborado, de modo a indicar o seu alinhamento com o planejamento da Administração;</w:t>
      </w:r>
    </w:p>
    <w:p w14:paraId="25E26E15">
      <w:pPr>
        <w:pStyle w:val="61"/>
        <w:widowControl w:val="0"/>
        <w:numPr>
          <w:ilvl w:val="0"/>
          <w:numId w:val="14"/>
        </w:numPr>
        <w:tabs>
          <w:tab w:val="left" w:pos="1573"/>
        </w:tabs>
        <w:autoSpaceDE w:val="0"/>
        <w:autoSpaceDN w:val="0"/>
        <w:spacing w:before="2"/>
        <w:ind w:left="1573" w:hanging="219"/>
        <w:contextualSpacing w:val="0"/>
        <w:jc w:val="both"/>
        <w:rPr>
          <w:rFonts w:eastAsiaTheme="minorHAnsi"/>
          <w:sz w:val="24"/>
          <w:szCs w:val="24"/>
        </w:rPr>
      </w:pPr>
      <w:r>
        <w:rPr>
          <w:rFonts w:eastAsiaTheme="minorHAnsi"/>
          <w:sz w:val="24"/>
          <w:szCs w:val="24"/>
        </w:rPr>
        <w:t>- Os requisitos da aquisição;</w:t>
      </w:r>
    </w:p>
    <w:p w14:paraId="7AA5D9BE">
      <w:pPr>
        <w:pStyle w:val="61"/>
        <w:widowControl w:val="0"/>
        <w:numPr>
          <w:ilvl w:val="0"/>
          <w:numId w:val="14"/>
        </w:numPr>
        <w:tabs>
          <w:tab w:val="left" w:pos="1619"/>
        </w:tabs>
        <w:autoSpaceDE w:val="0"/>
        <w:autoSpaceDN w:val="0"/>
        <w:ind w:right="330" w:firstLine="0"/>
        <w:contextualSpacing w:val="0"/>
        <w:jc w:val="both"/>
        <w:rPr>
          <w:rFonts w:eastAsiaTheme="minorHAnsi"/>
          <w:sz w:val="24"/>
          <w:szCs w:val="24"/>
        </w:rPr>
      </w:pPr>
      <w:r>
        <w:rPr>
          <w:rFonts w:eastAsiaTheme="minorHAnsi"/>
          <w:sz w:val="24"/>
          <w:szCs w:val="24"/>
        </w:rPr>
        <w:t>- As estimativas das quantidades para a aquisição, acompanhadas das memórias de cálculo e dos documentos que lhes dão suporte, que considerem interdependências com outras contratações, de modo a possibilitar economia de escala;</w:t>
      </w:r>
    </w:p>
    <w:p w14:paraId="479F3E1E">
      <w:pPr>
        <w:pStyle w:val="61"/>
        <w:widowControl w:val="0"/>
        <w:numPr>
          <w:ilvl w:val="0"/>
          <w:numId w:val="14"/>
        </w:numPr>
        <w:tabs>
          <w:tab w:val="left" w:pos="1573"/>
        </w:tabs>
        <w:autoSpaceDE w:val="0"/>
        <w:autoSpaceDN w:val="0"/>
        <w:ind w:right="342" w:firstLine="0"/>
        <w:contextualSpacing w:val="0"/>
        <w:jc w:val="both"/>
        <w:rPr>
          <w:rFonts w:eastAsiaTheme="minorHAnsi"/>
          <w:sz w:val="24"/>
          <w:szCs w:val="24"/>
        </w:rPr>
      </w:pPr>
      <w:r>
        <w:rPr>
          <w:rFonts w:eastAsiaTheme="minorHAnsi"/>
          <w:sz w:val="24"/>
          <w:szCs w:val="24"/>
        </w:rPr>
        <w:t>- O levantamento de mercado, que consiste na análise das alternativas possíveis, e justificativa técnica e econômica da escolha do tipo de solução a contratar;</w:t>
      </w:r>
    </w:p>
    <w:p w14:paraId="431ED48C">
      <w:pPr>
        <w:pStyle w:val="61"/>
        <w:widowControl w:val="0"/>
        <w:numPr>
          <w:ilvl w:val="0"/>
          <w:numId w:val="14"/>
        </w:numPr>
        <w:tabs>
          <w:tab w:val="left" w:pos="1619"/>
        </w:tabs>
        <w:autoSpaceDE w:val="0"/>
        <w:autoSpaceDN w:val="0"/>
        <w:ind w:right="330" w:firstLine="0"/>
        <w:contextualSpacing w:val="0"/>
        <w:jc w:val="both"/>
        <w:rPr>
          <w:rFonts w:eastAsiaTheme="minorHAnsi"/>
          <w:sz w:val="24"/>
          <w:szCs w:val="24"/>
        </w:rPr>
      </w:pPr>
      <w:r>
        <w:rPr>
          <w:rFonts w:eastAsiaTheme="minorHAnsi"/>
          <w:sz w:val="24"/>
          <w:szCs w:val="24"/>
        </w:rPr>
        <w:t>- A estimativa do valor da aquisição, acompanhada dos preços unitários referenciais, das memórias de cálculo e dos documentos que lhe dão suporte, que poderão constar de anexo classificado, se a Administração optar por preservar o seu sigilo até a conclusão da licitação;</w:t>
      </w:r>
    </w:p>
    <w:p w14:paraId="10CCDBEC">
      <w:pPr>
        <w:pStyle w:val="61"/>
        <w:widowControl w:val="0"/>
        <w:numPr>
          <w:ilvl w:val="0"/>
          <w:numId w:val="14"/>
        </w:numPr>
        <w:tabs>
          <w:tab w:val="left" w:pos="1699"/>
        </w:tabs>
        <w:autoSpaceDE w:val="0"/>
        <w:autoSpaceDN w:val="0"/>
        <w:spacing w:line="237" w:lineRule="auto"/>
        <w:ind w:right="337" w:firstLine="0"/>
        <w:contextualSpacing w:val="0"/>
        <w:jc w:val="both"/>
        <w:rPr>
          <w:rFonts w:eastAsiaTheme="minorHAnsi"/>
          <w:sz w:val="24"/>
          <w:szCs w:val="24"/>
        </w:rPr>
      </w:pPr>
      <w:r>
        <w:rPr>
          <w:rFonts w:eastAsiaTheme="minorHAnsi"/>
          <w:sz w:val="24"/>
          <w:szCs w:val="24"/>
        </w:rPr>
        <w:t>- A descrição da solução como um todo, inclusive das exigências relacionadas à manutenção e à assistência técnica, quando for o caso;</w:t>
      </w:r>
    </w:p>
    <w:p w14:paraId="1E1DB724">
      <w:pPr>
        <w:pStyle w:val="61"/>
        <w:widowControl w:val="0"/>
        <w:numPr>
          <w:ilvl w:val="0"/>
          <w:numId w:val="14"/>
        </w:numPr>
        <w:tabs>
          <w:tab w:val="left" w:pos="1705"/>
        </w:tabs>
        <w:autoSpaceDE w:val="0"/>
        <w:autoSpaceDN w:val="0"/>
        <w:ind w:left="1705" w:hanging="351"/>
        <w:contextualSpacing w:val="0"/>
        <w:jc w:val="both"/>
        <w:rPr>
          <w:rFonts w:eastAsiaTheme="minorHAnsi"/>
          <w:sz w:val="24"/>
          <w:szCs w:val="24"/>
        </w:rPr>
      </w:pPr>
      <w:r>
        <w:rPr>
          <w:rFonts w:eastAsiaTheme="minorHAnsi"/>
          <w:sz w:val="24"/>
          <w:szCs w:val="24"/>
        </w:rPr>
        <w:t>- As justificativas para o parcelamento ou não da aquisição;</w:t>
      </w:r>
    </w:p>
    <w:p w14:paraId="7507A1B6">
      <w:pPr>
        <w:pStyle w:val="61"/>
        <w:widowControl w:val="0"/>
        <w:numPr>
          <w:ilvl w:val="0"/>
          <w:numId w:val="14"/>
        </w:numPr>
        <w:tabs>
          <w:tab w:val="left" w:pos="1648"/>
        </w:tabs>
        <w:autoSpaceDE w:val="0"/>
        <w:autoSpaceDN w:val="0"/>
        <w:ind w:right="334" w:firstLine="0"/>
        <w:contextualSpacing w:val="0"/>
        <w:jc w:val="both"/>
        <w:rPr>
          <w:rFonts w:eastAsiaTheme="minorHAnsi"/>
          <w:sz w:val="24"/>
          <w:szCs w:val="24"/>
        </w:rPr>
      </w:pPr>
      <w:r>
        <w:rPr>
          <w:rFonts w:eastAsiaTheme="minorHAnsi"/>
          <w:sz w:val="24"/>
          <w:szCs w:val="24"/>
        </w:rPr>
        <w:t>- O demonstrativo dos resultados pretendidos em termos de economicidade e de melhor aproveitamento dos recursos humanos, materiais e financeiros disponíveis.</w:t>
      </w:r>
    </w:p>
    <w:p w14:paraId="40D3C7D1">
      <w:pPr>
        <w:tabs>
          <w:tab w:val="left" w:pos="1648"/>
        </w:tabs>
        <w:ind w:right="334"/>
        <w:rPr>
          <w:sz w:val="24"/>
          <w:szCs w:val="24"/>
        </w:rPr>
      </w:pPr>
    </w:p>
    <w:p w14:paraId="17A56AC7">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2. DEFINIÇÃO DAS NECESSIDADES E DIAGNÓSTICOS.</w:t>
      </w:r>
    </w:p>
    <w:p w14:paraId="3FFE2391">
      <w:pPr>
        <w:pStyle w:val="20"/>
        <w:rPr>
          <w:rFonts w:ascii="Times New Roman" w:hAnsi="Times New Roman" w:cs="Times New Roman" w:eastAsiaTheme="minorHAnsi"/>
          <w:lang w:val="pt-BR"/>
        </w:rPr>
      </w:pPr>
    </w:p>
    <w:p w14:paraId="13A75243">
      <w:pPr>
        <w:pStyle w:val="20"/>
        <w:ind w:right="329"/>
        <w:rPr>
          <w:rFonts w:ascii="Times New Roman" w:hAnsi="Times New Roman" w:cs="Times New Roman" w:eastAsiaTheme="minorHAnsi"/>
          <w:lang w:val="pt-BR"/>
        </w:rPr>
      </w:pPr>
      <w:r>
        <w:rPr>
          <w:rFonts w:ascii="Times New Roman" w:hAnsi="Times New Roman" w:cs="Times New Roman" w:eastAsiaTheme="minorHAnsi"/>
          <w:b/>
          <w:bCs/>
          <w:lang w:val="pt-BR"/>
        </w:rPr>
        <w:t>2.1-</w:t>
      </w:r>
      <w:r>
        <w:rPr>
          <w:rFonts w:ascii="Times New Roman" w:hAnsi="Times New Roman" w:cs="Times New Roman" w:eastAsiaTheme="minorHAnsi"/>
          <w:lang w:val="pt-BR"/>
        </w:rPr>
        <w:t xml:space="preserve"> Trata-se da necessidade da aquisição de veículo automotor terrestre 0KM, para compor a Frota Oficial de Veículos da Secretaria Municipal de Saúde do Município de Valença/RJ.</w:t>
      </w:r>
    </w:p>
    <w:p w14:paraId="150B8CFD">
      <w:pPr>
        <w:pStyle w:val="20"/>
        <w:ind w:right="329"/>
        <w:rPr>
          <w:rFonts w:ascii="Times New Roman" w:hAnsi="Times New Roman" w:cs="Times New Roman" w:eastAsiaTheme="minorHAnsi"/>
          <w:lang w:val="pt-BR"/>
        </w:rPr>
      </w:pPr>
    </w:p>
    <w:p w14:paraId="772C85AC">
      <w:pPr>
        <w:pStyle w:val="20"/>
        <w:spacing w:line="237" w:lineRule="auto"/>
        <w:ind w:right="337"/>
        <w:rPr>
          <w:rFonts w:ascii="Times New Roman" w:hAnsi="Times New Roman" w:cs="Times New Roman" w:eastAsiaTheme="minorHAnsi"/>
          <w:lang w:val="pt-BR"/>
        </w:rPr>
      </w:pPr>
      <w:r>
        <w:rPr>
          <w:rFonts w:ascii="Times New Roman" w:hAnsi="Times New Roman" w:cs="Times New Roman" w:eastAsiaTheme="minorHAnsi"/>
          <w:b/>
          <w:bCs/>
          <w:lang w:val="pt-BR"/>
        </w:rPr>
        <w:t>2.2-</w:t>
      </w:r>
      <w:r>
        <w:rPr>
          <w:rFonts w:ascii="Times New Roman" w:hAnsi="Times New Roman" w:cs="Times New Roman" w:eastAsiaTheme="minorHAnsi"/>
          <w:lang w:val="pt-BR"/>
        </w:rPr>
        <w:t xml:space="preserve"> Com o provimento da solução, a área requisitante da solução visa a atender as </w:t>
      </w:r>
    </w:p>
    <w:p w14:paraId="0211076E">
      <w:pPr>
        <w:pStyle w:val="20"/>
        <w:spacing w:line="237" w:lineRule="auto"/>
        <w:ind w:right="337"/>
        <w:rPr>
          <w:rFonts w:ascii="Times New Roman" w:hAnsi="Times New Roman" w:cs="Times New Roman" w:eastAsiaTheme="minorHAnsi"/>
          <w:lang w:val="pt-BR"/>
        </w:rPr>
      </w:pPr>
    </w:p>
    <w:p w14:paraId="6256C8D2">
      <w:pPr>
        <w:pStyle w:val="20"/>
        <w:spacing w:line="237" w:lineRule="auto"/>
        <w:ind w:right="337"/>
        <w:rPr>
          <w:rFonts w:ascii="Times New Roman" w:hAnsi="Times New Roman" w:cs="Times New Roman" w:eastAsiaTheme="minorHAnsi"/>
          <w:lang w:val="pt-BR"/>
        </w:rPr>
      </w:pPr>
      <w:r>
        <w:rPr>
          <w:rFonts w:ascii="Times New Roman" w:hAnsi="Times New Roman" w:cs="Times New Roman" w:eastAsiaTheme="minorHAnsi"/>
          <w:lang w:val="pt-BR"/>
        </w:rPr>
        <w:t>necessidades e garantir a prestação do serviço público.</w:t>
      </w:r>
    </w:p>
    <w:p w14:paraId="36631388">
      <w:pPr>
        <w:pStyle w:val="20"/>
        <w:spacing w:before="1"/>
        <w:rPr>
          <w:rFonts w:ascii="Times New Roman" w:hAnsi="Times New Roman" w:cs="Times New Roman" w:eastAsiaTheme="minorHAnsi"/>
          <w:lang w:val="pt-BR"/>
        </w:rPr>
      </w:pPr>
    </w:p>
    <w:p w14:paraId="11F120D3">
      <w:pPr>
        <w:pStyle w:val="20"/>
        <w:ind w:right="333"/>
        <w:rPr>
          <w:rFonts w:ascii="Times New Roman" w:hAnsi="Times New Roman" w:cs="Times New Roman" w:eastAsiaTheme="minorHAnsi"/>
          <w:lang w:val="pt-BR"/>
        </w:rPr>
      </w:pPr>
      <w:r>
        <w:rPr>
          <w:rFonts w:ascii="Times New Roman" w:hAnsi="Times New Roman" w:cs="Times New Roman" w:eastAsiaTheme="minorHAnsi"/>
          <w:b/>
          <w:bCs/>
          <w:lang w:val="pt-BR"/>
        </w:rPr>
        <w:t>2.3-</w:t>
      </w:r>
      <w:r>
        <w:rPr>
          <w:rFonts w:ascii="Times New Roman" w:hAnsi="Times New Roman" w:cs="Times New Roman" w:eastAsiaTheme="minorHAnsi"/>
          <w:lang w:val="pt-BR"/>
        </w:rPr>
        <w:t xml:space="preserve"> A descrição da necessidade da aquisição visa a solução mais adequada do problema sob a perspectiva do interesse público.</w:t>
      </w:r>
    </w:p>
    <w:p w14:paraId="6A84FF03">
      <w:pPr>
        <w:pStyle w:val="20"/>
        <w:ind w:right="328"/>
        <w:rPr>
          <w:rFonts w:ascii="Times New Roman" w:hAnsi="Times New Roman" w:cs="Times New Roman" w:eastAsiaTheme="minorHAnsi"/>
          <w:lang w:val="pt-BR"/>
        </w:rPr>
      </w:pPr>
      <w:r>
        <w:rPr>
          <w:rFonts w:ascii="Times New Roman" w:hAnsi="Times New Roman" w:cs="Times New Roman" w:eastAsiaTheme="minorHAnsi"/>
          <w:b/>
          <w:bCs/>
          <w:lang w:val="pt-BR"/>
        </w:rPr>
        <w:t>2.4-</w:t>
      </w:r>
      <w:r>
        <w:rPr>
          <w:rFonts w:ascii="Times New Roman" w:hAnsi="Times New Roman" w:cs="Times New Roman" w:eastAsiaTheme="minorHAnsi"/>
          <w:lang w:val="pt-BR"/>
        </w:rPr>
        <w:t xml:space="preserve"> Atualmente, para toda compra pública é realizada uma descrição detalhada e estimativa do quantitativo conforme a realidade que se apresenta, com intuito de alcançar a eficiência e vantajosidade das contratações públicas.</w:t>
      </w:r>
    </w:p>
    <w:p w14:paraId="0B38176B">
      <w:pPr>
        <w:pStyle w:val="20"/>
        <w:ind w:right="328"/>
        <w:rPr>
          <w:rFonts w:ascii="Times New Roman" w:hAnsi="Times New Roman" w:cs="Times New Roman" w:eastAsiaTheme="minorHAnsi"/>
          <w:lang w:val="pt-BR"/>
        </w:rPr>
      </w:pPr>
    </w:p>
    <w:p w14:paraId="01E72AFB">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3. DA AQUISIÇÃO E JUSTIFICATIVA DAS SOLUÇÕES A CONTRATAR</w:t>
      </w:r>
    </w:p>
    <w:p w14:paraId="1C68A11F">
      <w:pPr>
        <w:pStyle w:val="20"/>
        <w:ind w:left="5" w:right="109"/>
        <w:rPr>
          <w:rFonts w:ascii="Times New Roman" w:hAnsi="Times New Roman" w:cs="Times New Roman" w:eastAsiaTheme="minorHAnsi"/>
          <w:b/>
          <w:bCs/>
          <w:lang w:val="pt-BR"/>
        </w:rPr>
      </w:pPr>
    </w:p>
    <w:p w14:paraId="74F9F61B">
      <w:pPr>
        <w:pStyle w:val="20"/>
        <w:ind w:right="337"/>
        <w:rPr>
          <w:rFonts w:ascii="Times New Roman" w:hAnsi="Times New Roman" w:cs="Times New Roman" w:eastAsiaTheme="minorHAnsi"/>
          <w:lang w:val="pt-BR"/>
        </w:rPr>
      </w:pPr>
      <w:r>
        <w:rPr>
          <w:rFonts w:ascii="Times New Roman" w:hAnsi="Times New Roman" w:cs="Times New Roman" w:eastAsiaTheme="minorHAnsi"/>
          <w:b/>
          <w:bCs/>
          <w:lang w:val="pt-BR"/>
        </w:rPr>
        <w:t>3.1-</w:t>
      </w:r>
      <w:r>
        <w:rPr>
          <w:rFonts w:ascii="Times New Roman" w:hAnsi="Times New Roman" w:cs="Times New Roman" w:eastAsiaTheme="minorHAnsi"/>
          <w:lang w:val="pt-BR"/>
        </w:rPr>
        <w:t xml:space="preserve"> O Fundo Municipal de Saúde de Valença/RJ engajado em cumprir com a obrigação pública visando o bem estar da coletividade, procedeu-se o levantamento das demandas </w:t>
      </w:r>
    </w:p>
    <w:p w14:paraId="34636478">
      <w:pPr>
        <w:pStyle w:val="20"/>
        <w:ind w:right="337"/>
        <w:rPr>
          <w:rFonts w:ascii="Times New Roman" w:hAnsi="Times New Roman" w:cs="Times New Roman" w:eastAsiaTheme="minorHAnsi"/>
          <w:lang w:val="pt-BR"/>
        </w:rPr>
      </w:pPr>
      <w:r>
        <w:rPr>
          <w:rFonts w:ascii="Times New Roman" w:hAnsi="Times New Roman" w:cs="Times New Roman" w:eastAsiaTheme="minorHAnsi"/>
          <w:lang w:val="pt-BR"/>
        </w:rPr>
        <w:t>para elaborar a presente documentação, encontrando-se no procedimento os elementos que dizem respeito ao objeto licitado.</w:t>
      </w:r>
    </w:p>
    <w:p w14:paraId="64121068">
      <w:pPr>
        <w:pStyle w:val="20"/>
        <w:spacing w:before="272"/>
        <w:ind w:right="339"/>
        <w:rPr>
          <w:rFonts w:ascii="Times New Roman" w:hAnsi="Times New Roman" w:cs="Times New Roman" w:eastAsiaTheme="minorHAnsi"/>
          <w:lang w:val="pt-BR"/>
        </w:rPr>
      </w:pPr>
      <w:r>
        <w:rPr>
          <w:rFonts w:ascii="Times New Roman" w:hAnsi="Times New Roman" w:cs="Times New Roman" w:eastAsiaTheme="minorHAnsi"/>
          <w:b/>
          <w:bCs/>
          <w:lang w:val="pt-BR"/>
        </w:rPr>
        <w:t>3.2-</w:t>
      </w:r>
      <w:r>
        <w:rPr>
          <w:rFonts w:ascii="Times New Roman" w:hAnsi="Times New Roman" w:cs="Times New Roman" w:eastAsiaTheme="minorHAnsi"/>
          <w:lang w:val="pt-BR"/>
        </w:rPr>
        <w:t xml:space="preserve"> A estimativa da demanda é baseada principalmente nos procedimentos e compras públicas realizadas anteriormente, mas também com base na evolução e desenvolvimento local.</w:t>
      </w:r>
    </w:p>
    <w:p w14:paraId="240C4431">
      <w:pPr>
        <w:pStyle w:val="20"/>
        <w:spacing w:before="2"/>
        <w:rPr>
          <w:rFonts w:ascii="Times New Roman" w:hAnsi="Times New Roman" w:cs="Times New Roman" w:eastAsiaTheme="minorHAnsi"/>
          <w:lang w:val="pt-BR"/>
        </w:rPr>
      </w:pPr>
    </w:p>
    <w:p w14:paraId="05A0E08C">
      <w:pPr>
        <w:pStyle w:val="20"/>
        <w:spacing w:line="237" w:lineRule="auto"/>
        <w:ind w:right="331"/>
        <w:rPr>
          <w:rFonts w:ascii="Times New Roman" w:hAnsi="Times New Roman" w:cs="Times New Roman" w:eastAsiaTheme="minorHAnsi"/>
          <w:lang w:val="pt-BR"/>
        </w:rPr>
      </w:pPr>
      <w:r>
        <w:rPr>
          <w:rFonts w:ascii="Times New Roman" w:hAnsi="Times New Roman" w:cs="Times New Roman" w:eastAsiaTheme="minorHAnsi"/>
          <w:b/>
          <w:bCs/>
          <w:lang w:val="pt-BR" w:eastAsia="pt-BR"/>
        </w:rPr>
        <mc:AlternateContent>
          <mc:Choice Requires="wps">
            <w:drawing>
              <wp:anchor distT="0" distB="0" distL="0" distR="0" simplePos="0" relativeHeight="251661312" behindDoc="1" locked="0" layoutInCell="1" allowOverlap="1">
                <wp:simplePos x="0" y="0"/>
                <wp:positionH relativeFrom="page">
                  <wp:posOffset>6031230</wp:posOffset>
                </wp:positionH>
                <wp:positionV relativeFrom="paragraph">
                  <wp:posOffset>-2540</wp:posOffset>
                </wp:positionV>
                <wp:extent cx="810895" cy="180340"/>
                <wp:effectExtent l="0" t="0" r="0" b="0"/>
                <wp:wrapNone/>
                <wp:docPr id="8" name="Forma Livre: Forma 6"/>
                <wp:cNvGraphicFramePr/>
                <a:graphic xmlns:a="http://schemas.openxmlformats.org/drawingml/2006/main">
                  <a:graphicData uri="http://schemas.microsoft.com/office/word/2010/wordprocessingShape">
                    <wps:wsp>
                      <wps:cNvSpPr/>
                      <wps:spPr>
                        <a:xfrm>
                          <a:off x="0" y="0"/>
                          <a:ext cx="810895" cy="180340"/>
                        </a:xfrm>
                        <a:custGeom>
                          <a:avLst/>
                          <a:gdLst/>
                          <a:ahLst/>
                          <a:cxnLst/>
                          <a:rect l="l" t="t" r="r" b="b"/>
                          <a:pathLst>
                            <a:path w="810895" h="180340">
                              <a:moveTo>
                                <a:pt x="810767" y="0"/>
                              </a:moveTo>
                              <a:lnTo>
                                <a:pt x="0" y="0"/>
                              </a:lnTo>
                              <a:lnTo>
                                <a:pt x="0" y="179831"/>
                              </a:lnTo>
                              <a:lnTo>
                                <a:pt x="810767" y="179831"/>
                              </a:lnTo>
                              <a:lnTo>
                                <a:pt x="810767" y="0"/>
                              </a:lnTo>
                              <a:close/>
                            </a:path>
                          </a:pathLst>
                        </a:custGeom>
                        <a:solidFill>
                          <a:srgbClr val="FFFFFF"/>
                        </a:solidFill>
                      </wps:spPr>
                      <wps:bodyPr wrap="square" lIns="0" tIns="0" rIns="0" bIns="0" rtlCol="0">
                        <a:noAutofit/>
                      </wps:bodyPr>
                    </wps:wsp>
                  </a:graphicData>
                </a:graphic>
              </wp:anchor>
            </w:drawing>
          </mc:Choice>
          <mc:Fallback>
            <w:pict>
              <v:shape id="Forma Livre: Forma 6" o:spid="_x0000_s1026" o:spt="100" style="position:absolute;left:0pt;margin-left:474.9pt;margin-top:-0.2pt;height:14.2pt;width:63.85pt;mso-position-horizontal-relative:page;z-index:-251655168;mso-width-relative:page;mso-height-relative:page;" fillcolor="#FFFFFF" filled="t" stroked="f" coordsize="810895,180340" o:gfxdata="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HXsvLWAAAACQEAAA8AAAAAAAAAAQAgAAAAIgAAAGRycy9kb3ducmV2LnhtbFBLAQIUABQA&#10;AAAIAIdO4kCBbCH8KwIAAOoEAAAOAAAAAAAAAAEAIAAAACUBAABkcnMvZTJvRG9jLnhtbFBLBQYA&#10;AAAABgAGAFkBAADCBQAAAAA=&#10;" path="m810767,0l0,0,0,179831,810767,179831,810767,0xe">
                <v:fill on="t" focussize="0,0"/>
                <v:stroke on="f"/>
                <v:imagedata o:title=""/>
                <o:lock v:ext="edit" aspectratio="f"/>
                <v:textbox inset="0mm,0mm,0mm,0mm"/>
              </v:shape>
            </w:pict>
          </mc:Fallback>
        </mc:AlternateContent>
      </w:r>
      <w:r>
        <w:rPr>
          <w:rFonts w:ascii="Times New Roman" w:hAnsi="Times New Roman" w:cs="Times New Roman" w:eastAsiaTheme="minorHAnsi"/>
          <w:b/>
          <w:bCs/>
          <w:lang w:val="pt-BR" w:eastAsia="pt-BR"/>
        </w:rPr>
        <mc:AlternateContent>
          <mc:Choice Requires="wps">
            <w:drawing>
              <wp:anchor distT="0" distB="0" distL="0" distR="0" simplePos="0" relativeHeight="251662336" behindDoc="1" locked="0" layoutInCell="1" allowOverlap="1">
                <wp:simplePos x="0" y="0"/>
                <wp:positionH relativeFrom="page">
                  <wp:posOffset>1080770</wp:posOffset>
                </wp:positionH>
                <wp:positionV relativeFrom="paragraph">
                  <wp:posOffset>170180</wp:posOffset>
                </wp:positionV>
                <wp:extent cx="3170555" cy="180340"/>
                <wp:effectExtent l="0" t="0" r="0" b="0"/>
                <wp:wrapNone/>
                <wp:docPr id="9" name="Forma Livre: Forma 7"/>
                <wp:cNvGraphicFramePr/>
                <a:graphic xmlns:a="http://schemas.openxmlformats.org/drawingml/2006/main">
                  <a:graphicData uri="http://schemas.microsoft.com/office/word/2010/wordprocessingShape">
                    <wps:wsp>
                      <wps:cNvSpPr/>
                      <wps:spPr>
                        <a:xfrm>
                          <a:off x="0" y="0"/>
                          <a:ext cx="3170555" cy="180340"/>
                        </a:xfrm>
                        <a:custGeom>
                          <a:avLst/>
                          <a:gdLst/>
                          <a:ahLst/>
                          <a:cxnLst/>
                          <a:rect l="l" t="t" r="r" b="b"/>
                          <a:pathLst>
                            <a:path w="3170555" h="180340">
                              <a:moveTo>
                                <a:pt x="3170555" y="0"/>
                              </a:moveTo>
                              <a:lnTo>
                                <a:pt x="0" y="0"/>
                              </a:lnTo>
                              <a:lnTo>
                                <a:pt x="0" y="180136"/>
                              </a:lnTo>
                              <a:lnTo>
                                <a:pt x="3170555" y="180136"/>
                              </a:lnTo>
                              <a:lnTo>
                                <a:pt x="3170555" y="0"/>
                              </a:lnTo>
                              <a:close/>
                            </a:path>
                          </a:pathLst>
                        </a:custGeom>
                        <a:solidFill>
                          <a:srgbClr val="FFFFFF"/>
                        </a:solidFill>
                      </wps:spPr>
                      <wps:bodyPr wrap="square" lIns="0" tIns="0" rIns="0" bIns="0" rtlCol="0">
                        <a:noAutofit/>
                      </wps:bodyPr>
                    </wps:wsp>
                  </a:graphicData>
                </a:graphic>
              </wp:anchor>
            </w:drawing>
          </mc:Choice>
          <mc:Fallback>
            <w:pict>
              <v:shape id="Forma Livre: Forma 7" o:spid="_x0000_s1026" o:spt="100" style="position:absolute;left:0pt;margin-left:85.1pt;margin-top:13.4pt;height:14.2pt;width:249.65pt;mso-position-horizontal-relative:page;z-index:-251654144;mso-width-relative:page;mso-height-relative:page;" fillcolor="#FFFFFF" filled="t" stroked="f" coordsize="3170555,180340" o:gfxdata="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7KCpktUAAAAJAQAADwAAAAAAAAABACAAAAAiAAAAZHJzL2Rvd25yZXYueG1sUEsBAhQAFAAAAAgA&#10;h07iQEREZM8oAgAA7wQAAA4AAAAAAAAAAQAgAAAAJAEAAGRycy9lMm9Eb2MueG1sUEsFBgAAAAAG&#10;AAYAWQEAAL4FAAAAAA==&#10;" path="m3170555,0l0,0,0,180136,3170555,180136,3170555,0xe">
                <v:fill on="t" focussize="0,0"/>
                <v:stroke on="f"/>
                <v:imagedata o:title=""/>
                <o:lock v:ext="edit" aspectratio="f"/>
                <v:textbox inset="0mm,0mm,0mm,0mm"/>
              </v:shape>
            </w:pict>
          </mc:Fallback>
        </mc:AlternateContent>
      </w:r>
      <w:r>
        <w:rPr>
          <w:rFonts w:ascii="Times New Roman" w:hAnsi="Times New Roman" w:cs="Times New Roman" w:eastAsiaTheme="minorHAnsi"/>
          <w:b/>
          <w:bCs/>
          <w:lang w:val="pt-BR"/>
        </w:rPr>
        <w:t>3.3-</w:t>
      </w:r>
      <w:r>
        <w:rPr>
          <w:rFonts w:ascii="Times New Roman" w:hAnsi="Times New Roman" w:cs="Times New Roman" w:eastAsiaTheme="minorHAnsi"/>
          <w:lang w:val="pt-BR"/>
        </w:rPr>
        <w:t xml:space="preserve"> A aquisição intentada adquire contornos de maior relevância, porquanto viabiliza a manutenção dos veículos oficiais, garantindo segurança aos usuários.</w:t>
      </w:r>
    </w:p>
    <w:p w14:paraId="07D31F0C">
      <w:pPr>
        <w:pStyle w:val="20"/>
        <w:spacing w:before="1"/>
        <w:rPr>
          <w:rFonts w:ascii="Times New Roman" w:hAnsi="Times New Roman" w:cs="Times New Roman" w:eastAsiaTheme="minorHAnsi"/>
          <w:lang w:val="pt-BR"/>
        </w:rPr>
      </w:pPr>
    </w:p>
    <w:p w14:paraId="495ACE13">
      <w:pPr>
        <w:pStyle w:val="20"/>
        <w:ind w:right="327"/>
        <w:rPr>
          <w:rFonts w:ascii="Times New Roman" w:hAnsi="Times New Roman" w:cs="Times New Roman" w:eastAsiaTheme="minorHAnsi"/>
          <w:lang w:val="pt-BR"/>
        </w:rPr>
      </w:pPr>
      <w:r>
        <w:rPr>
          <w:rFonts w:ascii="Times New Roman" w:hAnsi="Times New Roman" w:cs="Times New Roman" w:eastAsiaTheme="minorHAnsi"/>
          <w:b/>
          <w:bCs/>
          <w:lang w:val="pt-BR"/>
        </w:rPr>
        <w:t>3.4-</w:t>
      </w:r>
      <w:r>
        <w:rPr>
          <w:rFonts w:ascii="Times New Roman" w:hAnsi="Times New Roman" w:cs="Times New Roman" w:eastAsiaTheme="minorHAnsi"/>
          <w:lang w:val="pt-BR"/>
        </w:rPr>
        <w:t xml:space="preserve"> A definição do objeto aqui citado se dará, detalhadamente, no competente Termo de Referência que será elaborado oportunamente. Aqui, neste ETP, tão somente serão destacados os elementos principais relacionados à aquisição até mesmo porque o presente documento não se confunde com aquele, o Termo de Referência.</w:t>
      </w:r>
    </w:p>
    <w:p w14:paraId="3BA08A04">
      <w:pPr>
        <w:pStyle w:val="20"/>
        <w:ind w:right="327"/>
        <w:rPr>
          <w:rFonts w:ascii="Times New Roman" w:hAnsi="Times New Roman" w:cs="Times New Roman" w:eastAsiaTheme="minorHAnsi"/>
          <w:lang w:val="pt-BR"/>
        </w:rPr>
      </w:pPr>
    </w:p>
    <w:p w14:paraId="18DB9080">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4. DA IDENTIFICAÇÃO E ANÁLISE DAS SOLUÇÕES</w:t>
      </w:r>
    </w:p>
    <w:p w14:paraId="3A433832">
      <w:pPr>
        <w:pStyle w:val="20"/>
        <w:spacing w:before="274"/>
        <w:ind w:right="337"/>
        <w:rPr>
          <w:rFonts w:ascii="Times New Roman" w:hAnsi="Times New Roman" w:cs="Times New Roman" w:eastAsiaTheme="minorHAnsi"/>
          <w:lang w:val="pt-BR"/>
        </w:rPr>
      </w:pPr>
      <w:r>
        <w:rPr>
          <w:rFonts w:ascii="Times New Roman" w:hAnsi="Times New Roman" w:cs="Times New Roman" w:eastAsiaTheme="minorHAnsi"/>
          <w:b/>
          <w:bCs/>
          <w:lang w:val="pt-BR"/>
        </w:rPr>
        <w:t>4.1-</w:t>
      </w:r>
      <w:r>
        <w:rPr>
          <w:rFonts w:ascii="Times New Roman" w:hAnsi="Times New Roman" w:cs="Times New Roman" w:eastAsiaTheme="minorHAnsi"/>
          <w:lang w:val="pt-BR"/>
        </w:rPr>
        <w:t xml:space="preserve"> Este Estudo Técnico Preliminar visa, sobremaneira, analisar e escolher qual a solução que melhor responde às necessidades desta Secretaria, sob os aspectos legais, técnicos, econômicos e ambientais em relação aos produtos a serem adquiridos.</w:t>
      </w:r>
    </w:p>
    <w:p w14:paraId="3FCFAAC2">
      <w:pPr>
        <w:pStyle w:val="20"/>
        <w:spacing w:before="274"/>
        <w:ind w:right="337"/>
        <w:rPr>
          <w:rFonts w:ascii="Times New Roman" w:hAnsi="Times New Roman" w:cs="Times New Roman" w:eastAsiaTheme="minorHAnsi"/>
          <w:lang w:val="pt-BR"/>
        </w:rPr>
      </w:pPr>
      <w:r>
        <w:rPr>
          <w:rFonts w:ascii="Times New Roman" w:hAnsi="Times New Roman" w:cs="Times New Roman" w:eastAsiaTheme="minorHAnsi"/>
          <w:b/>
          <w:bCs/>
          <w:lang w:val="pt-BR"/>
        </w:rPr>
        <w:t>4.2-</w:t>
      </w:r>
      <w:r>
        <w:rPr>
          <w:rFonts w:ascii="Times New Roman" w:hAnsi="Times New Roman" w:cs="Times New Roman" w:eastAsiaTheme="minorHAnsi"/>
          <w:lang w:val="pt-BR"/>
        </w:rPr>
        <w:t xml:space="preserve"> As alternativas para a execução da prestação dos serviços públicos:</w:t>
      </w:r>
    </w:p>
    <w:p w14:paraId="1CD6B117">
      <w:pPr>
        <w:pStyle w:val="20"/>
        <w:spacing w:before="53" w:after="1"/>
        <w:rPr>
          <w:rFonts w:ascii="Times New Roman" w:hAnsi="Times New Roman" w:cs="Times New Roman" w:eastAsiaTheme="minorHAnsi"/>
          <w:lang w:val="pt-BR"/>
        </w:rPr>
      </w:pPr>
    </w:p>
    <w:tbl>
      <w:tblPr>
        <w:tblStyle w:val="60"/>
        <w:tblW w:w="9212"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18"/>
        <w:gridCol w:w="6694"/>
      </w:tblGrid>
      <w:tr w14:paraId="11588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trPr>
        <w:tc>
          <w:tcPr>
            <w:tcW w:w="2518" w:type="dxa"/>
          </w:tcPr>
          <w:p w14:paraId="7354864F">
            <w:pPr>
              <w:pStyle w:val="73"/>
              <w:spacing w:line="198" w:lineRule="exact"/>
              <w:jc w:val="center"/>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SOLUÇÃO</w:t>
            </w:r>
          </w:p>
        </w:tc>
        <w:tc>
          <w:tcPr>
            <w:tcW w:w="6694" w:type="dxa"/>
          </w:tcPr>
          <w:p w14:paraId="0CB1856E">
            <w:pPr>
              <w:pStyle w:val="73"/>
              <w:spacing w:line="198" w:lineRule="exact"/>
              <w:jc w:val="center"/>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DESCRIÇÃO</w:t>
            </w:r>
          </w:p>
        </w:tc>
      </w:tr>
      <w:tr w14:paraId="1FD0A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2518" w:type="dxa"/>
          </w:tcPr>
          <w:p w14:paraId="0BA01639">
            <w:pPr>
              <w:pStyle w:val="73"/>
              <w:spacing w:line="215" w:lineRule="exact"/>
              <w:rPr>
                <w:rFonts w:ascii="Times New Roman" w:hAnsi="Times New Roman" w:cs="Times New Roman" w:eastAsiaTheme="minorHAnsi"/>
                <w:sz w:val="24"/>
                <w:szCs w:val="24"/>
                <w:lang w:val="pt-BR"/>
              </w:rPr>
            </w:pPr>
          </w:p>
          <w:p w14:paraId="17815151">
            <w:pPr>
              <w:pStyle w:val="73"/>
              <w:spacing w:line="215" w:lineRule="exact"/>
              <w:rPr>
                <w:rFonts w:ascii="Times New Roman" w:hAnsi="Times New Roman" w:cs="Times New Roman" w:eastAsiaTheme="minorHAnsi"/>
                <w:sz w:val="24"/>
                <w:szCs w:val="24"/>
                <w:lang w:val="pt-BR"/>
              </w:rPr>
            </w:pPr>
          </w:p>
          <w:p w14:paraId="57194446">
            <w:pPr>
              <w:pStyle w:val="73"/>
              <w:spacing w:line="215" w:lineRule="exact"/>
              <w:jc w:val="center"/>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Aquisição de Veículos</w:t>
            </w:r>
          </w:p>
        </w:tc>
        <w:tc>
          <w:tcPr>
            <w:tcW w:w="6694" w:type="dxa"/>
          </w:tcPr>
          <w:p w14:paraId="7F5D25F1">
            <w:pPr>
              <w:pStyle w:val="73"/>
              <w:spacing w:line="218" w:lineRule="exact"/>
              <w:ind w:right="144"/>
              <w:rPr>
                <w:rFonts w:ascii="Times New Roman" w:hAnsi="Times New Roman" w:cs="Times New Roman" w:eastAsiaTheme="minorHAnsi"/>
                <w:sz w:val="24"/>
                <w:szCs w:val="24"/>
                <w:lang w:val="pt-BR"/>
              </w:rPr>
            </w:pPr>
          </w:p>
          <w:p w14:paraId="338579B3">
            <w:pPr>
              <w:pStyle w:val="73"/>
              <w:spacing w:line="218" w:lineRule="exact"/>
              <w:ind w:right="144"/>
              <w:jc w:val="both"/>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O veículo será incorporado à frota do Fundo, cabendo a este a responsabilidade pela gestão da manutenção e documentação pertinente.</w:t>
            </w:r>
          </w:p>
          <w:p w14:paraId="229A9847">
            <w:pPr>
              <w:pStyle w:val="73"/>
              <w:spacing w:line="218" w:lineRule="exact"/>
              <w:ind w:right="144"/>
              <w:rPr>
                <w:rFonts w:ascii="Times New Roman" w:hAnsi="Times New Roman" w:cs="Times New Roman" w:eastAsiaTheme="minorHAnsi"/>
                <w:sz w:val="24"/>
                <w:szCs w:val="24"/>
                <w:lang w:val="pt-BR"/>
              </w:rPr>
            </w:pPr>
          </w:p>
        </w:tc>
      </w:tr>
      <w:tr w14:paraId="26E54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1" w:hRule="atLeast"/>
        </w:trPr>
        <w:tc>
          <w:tcPr>
            <w:tcW w:w="2518" w:type="dxa"/>
          </w:tcPr>
          <w:p w14:paraId="222B982D">
            <w:pPr>
              <w:pStyle w:val="73"/>
              <w:spacing w:line="237" w:lineRule="auto"/>
              <w:rPr>
                <w:rFonts w:ascii="Times New Roman" w:hAnsi="Times New Roman" w:cs="Times New Roman" w:eastAsiaTheme="minorHAnsi"/>
                <w:sz w:val="24"/>
                <w:szCs w:val="24"/>
                <w:lang w:val="pt-BR"/>
              </w:rPr>
            </w:pPr>
          </w:p>
          <w:p w14:paraId="7D79BAFB">
            <w:pPr>
              <w:pStyle w:val="73"/>
              <w:spacing w:line="237" w:lineRule="auto"/>
              <w:jc w:val="center"/>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Locação de veículos (com ou sem motorista)</w:t>
            </w:r>
          </w:p>
        </w:tc>
        <w:tc>
          <w:tcPr>
            <w:tcW w:w="6694" w:type="dxa"/>
          </w:tcPr>
          <w:p w14:paraId="420717B5">
            <w:pPr>
              <w:pStyle w:val="73"/>
              <w:spacing w:line="237" w:lineRule="auto"/>
              <w:ind w:right="99"/>
              <w:jc w:val="both"/>
              <w:rPr>
                <w:rFonts w:ascii="Times New Roman" w:hAnsi="Times New Roman" w:cs="Times New Roman" w:eastAsiaTheme="minorHAnsi"/>
                <w:sz w:val="24"/>
                <w:szCs w:val="24"/>
                <w:lang w:val="pt-BR"/>
              </w:rPr>
            </w:pPr>
          </w:p>
          <w:p w14:paraId="25256395">
            <w:pPr>
              <w:pStyle w:val="73"/>
              <w:spacing w:line="237" w:lineRule="auto"/>
              <w:ind w:right="99"/>
              <w:jc w:val="both"/>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O serviço consiste na disponibilização de veículos pela empresa contratada, a qual se responsabiliza pela manutenção de cada veículo disponibilizado, pela gestão da documentação pertinente e pela substituição dos veículos. A modelagem inclui franquia</w:t>
            </w:r>
          </w:p>
          <w:p w14:paraId="266A0307">
            <w:pPr>
              <w:pStyle w:val="73"/>
              <w:spacing w:before="1" w:line="201" w:lineRule="exact"/>
              <w:jc w:val="both"/>
              <w:rPr>
                <w:rFonts w:ascii="Times New Roman" w:hAnsi="Times New Roman" w:cs="Times New Roman" w:eastAsiaTheme="minorHAnsi"/>
                <w:sz w:val="24"/>
                <w:szCs w:val="24"/>
                <w:lang w:val="pt-BR"/>
              </w:rPr>
            </w:pPr>
            <w:r>
              <w:rPr>
                <w:rFonts w:ascii="Times New Roman" w:hAnsi="Times New Roman" w:cs="Times New Roman" w:eastAsiaTheme="minorHAnsi"/>
                <w:sz w:val="24"/>
                <w:szCs w:val="24"/>
                <w:lang w:val="pt-BR"/>
              </w:rPr>
              <w:t>mensal e valor por km rodado, ou quilometragem livre.</w:t>
            </w:r>
          </w:p>
          <w:p w14:paraId="4C02EA5A">
            <w:pPr>
              <w:pStyle w:val="73"/>
              <w:spacing w:before="1" w:line="201" w:lineRule="exact"/>
              <w:jc w:val="both"/>
              <w:rPr>
                <w:rFonts w:ascii="Times New Roman" w:hAnsi="Times New Roman" w:cs="Times New Roman" w:eastAsiaTheme="minorHAnsi"/>
                <w:sz w:val="24"/>
                <w:szCs w:val="24"/>
                <w:lang w:val="pt-BR"/>
              </w:rPr>
            </w:pPr>
          </w:p>
        </w:tc>
      </w:tr>
    </w:tbl>
    <w:p w14:paraId="457FC897">
      <w:pPr>
        <w:pStyle w:val="20"/>
        <w:spacing w:before="224"/>
        <w:rPr>
          <w:rFonts w:ascii="Times New Roman" w:hAnsi="Times New Roman" w:cs="Times New Roman" w:eastAsiaTheme="minorHAnsi"/>
          <w:lang w:val="pt-BR"/>
        </w:rPr>
      </w:pPr>
    </w:p>
    <w:p w14:paraId="523F2B03">
      <w:pPr>
        <w:pStyle w:val="20"/>
        <w:ind w:left="5" w:right="109"/>
        <w:rPr>
          <w:rFonts w:ascii="Times New Roman" w:hAnsi="Times New Roman" w:cs="Times New Roman" w:eastAsiaTheme="minorHAnsi"/>
          <w:lang w:val="pt-BR"/>
        </w:rPr>
      </w:pPr>
    </w:p>
    <w:p w14:paraId="5C61E9FB">
      <w:pPr>
        <w:pStyle w:val="20"/>
        <w:ind w:left="5" w:right="109"/>
        <w:rPr>
          <w:rFonts w:ascii="Times New Roman" w:hAnsi="Times New Roman" w:cs="Times New Roman" w:eastAsiaTheme="minorHAnsi"/>
          <w:lang w:val="pt-BR"/>
        </w:rPr>
      </w:pPr>
      <w:r>
        <w:rPr>
          <w:rFonts w:ascii="Times New Roman" w:hAnsi="Times New Roman" w:cs="Times New Roman" w:eastAsiaTheme="minorHAnsi"/>
          <w:b/>
          <w:bCs/>
          <w:lang w:val="pt-BR"/>
        </w:rPr>
        <w:t xml:space="preserve">    4.3-</w:t>
      </w:r>
      <w:r>
        <w:rPr>
          <w:rFonts w:ascii="Times New Roman" w:hAnsi="Times New Roman" w:cs="Times New Roman" w:eastAsiaTheme="minorHAnsi"/>
          <w:lang w:val="pt-BR"/>
        </w:rPr>
        <w:t xml:space="preserve"> Justificativas da escolha da solução</w:t>
      </w:r>
    </w:p>
    <w:p w14:paraId="335A1E7F">
      <w:pPr>
        <w:pStyle w:val="20"/>
        <w:ind w:left="5" w:right="109"/>
        <w:rPr>
          <w:rFonts w:ascii="Times New Roman" w:hAnsi="Times New Roman" w:cs="Times New Roman" w:eastAsiaTheme="minorHAnsi"/>
          <w:lang w:val="pt-BR"/>
        </w:rPr>
      </w:pPr>
    </w:p>
    <w:p w14:paraId="2350BF96">
      <w:pPr>
        <w:pStyle w:val="61"/>
        <w:widowControl w:val="0"/>
        <w:numPr>
          <w:ilvl w:val="1"/>
          <w:numId w:val="15"/>
        </w:numPr>
        <w:tabs>
          <w:tab w:val="left" w:pos="542"/>
        </w:tabs>
        <w:autoSpaceDE w:val="0"/>
        <w:autoSpaceDN w:val="0"/>
        <w:ind w:right="333" w:firstLine="0"/>
        <w:contextualSpacing w:val="0"/>
        <w:jc w:val="both"/>
        <w:rPr>
          <w:rFonts w:eastAsiaTheme="minorHAnsi"/>
          <w:sz w:val="24"/>
          <w:szCs w:val="24"/>
        </w:rPr>
      </w:pPr>
      <w:r>
        <w:rPr>
          <w:rFonts w:eastAsiaTheme="minorHAnsi"/>
          <w:sz w:val="24"/>
          <w:szCs w:val="24"/>
        </w:rPr>
        <w:t>Considerando que se trata de recursos do Fundo Municipal de Saúde, para investimento, sendo a solução mais viável e adequada é a aquisição de veículo.</w:t>
      </w:r>
    </w:p>
    <w:p w14:paraId="6BD2A1F9">
      <w:pPr>
        <w:pStyle w:val="61"/>
        <w:widowControl w:val="0"/>
        <w:numPr>
          <w:ilvl w:val="1"/>
          <w:numId w:val="15"/>
        </w:numPr>
        <w:tabs>
          <w:tab w:val="left" w:pos="506"/>
        </w:tabs>
        <w:autoSpaceDE w:val="0"/>
        <w:autoSpaceDN w:val="0"/>
        <w:spacing w:before="274"/>
        <w:ind w:right="325" w:firstLine="0"/>
        <w:contextualSpacing w:val="0"/>
        <w:jc w:val="both"/>
        <w:rPr>
          <w:rFonts w:eastAsiaTheme="minorHAnsi"/>
          <w:sz w:val="24"/>
          <w:szCs w:val="24"/>
        </w:rPr>
      </w:pPr>
      <w:r>
        <w:rPr>
          <w:rFonts w:eastAsiaTheme="minorHAnsi"/>
          <w:sz w:val="24"/>
          <w:szCs w:val="24"/>
        </w:rPr>
        <w:t>A análise das opções oferecidas pelo mercado, leva em consideração o preenchimento dos requisitos de conforto e segurança adequados ao deslocamento de servidores e pacientes.</w:t>
      </w:r>
    </w:p>
    <w:p w14:paraId="0A9CCE6A">
      <w:pPr>
        <w:pStyle w:val="61"/>
        <w:widowControl w:val="0"/>
        <w:numPr>
          <w:ilvl w:val="1"/>
          <w:numId w:val="15"/>
        </w:numPr>
        <w:tabs>
          <w:tab w:val="left" w:pos="516"/>
        </w:tabs>
        <w:autoSpaceDE w:val="0"/>
        <w:autoSpaceDN w:val="0"/>
        <w:spacing w:before="273"/>
        <w:ind w:right="328" w:firstLine="0"/>
        <w:contextualSpacing w:val="0"/>
        <w:jc w:val="both"/>
        <w:rPr>
          <w:rFonts w:eastAsiaTheme="minorHAnsi"/>
          <w:sz w:val="24"/>
          <w:szCs w:val="24"/>
        </w:rPr>
      </w:pPr>
      <w:r>
        <w:rPr>
          <w:rFonts w:eastAsiaTheme="minorHAnsi"/>
          <w:sz w:val="24"/>
          <w:szCs w:val="24"/>
        </w:rPr>
        <w:t>Reconhece-se as vantagens de cada modelagem em relação a deslocamentos específicos, presumindo-se que a melhor solução para as necessidades de transporte do órgão baseia-se num modelo híbrido formado pelas soluções identificadas.</w:t>
      </w:r>
    </w:p>
    <w:p w14:paraId="3CA75CD9">
      <w:pPr>
        <w:pStyle w:val="61"/>
        <w:widowControl w:val="0"/>
        <w:numPr>
          <w:ilvl w:val="1"/>
          <w:numId w:val="15"/>
        </w:numPr>
        <w:tabs>
          <w:tab w:val="left" w:pos="532"/>
        </w:tabs>
        <w:autoSpaceDE w:val="0"/>
        <w:autoSpaceDN w:val="0"/>
        <w:spacing w:before="274"/>
        <w:ind w:right="327" w:firstLine="0"/>
        <w:contextualSpacing w:val="0"/>
        <w:jc w:val="both"/>
        <w:rPr>
          <w:rFonts w:eastAsiaTheme="minorHAnsi"/>
          <w:sz w:val="24"/>
          <w:szCs w:val="24"/>
        </w:rPr>
      </w:pPr>
      <w:r>
        <w:rPr>
          <w:rFonts w:eastAsiaTheme="minorHAnsi"/>
          <w:sz w:val="24"/>
          <w:szCs w:val="24"/>
        </w:rPr>
        <w:t>Particularmente no transporte de pacientes, faz-se necessário conforto e cuidados especiais com a segurança física destes cidadãos. Por esse motivo, é recomendável evitar a utilização de serviços que não possam contar com os requisitos de condução.</w:t>
      </w:r>
    </w:p>
    <w:p w14:paraId="7BA1CE57">
      <w:pPr>
        <w:pStyle w:val="61"/>
        <w:widowControl w:val="0"/>
        <w:numPr>
          <w:ilvl w:val="1"/>
          <w:numId w:val="15"/>
        </w:numPr>
        <w:tabs>
          <w:tab w:val="left" w:pos="504"/>
        </w:tabs>
        <w:autoSpaceDE w:val="0"/>
        <w:autoSpaceDN w:val="0"/>
        <w:spacing w:before="274"/>
        <w:ind w:right="326" w:firstLine="0"/>
        <w:contextualSpacing w:val="0"/>
        <w:jc w:val="both"/>
        <w:rPr>
          <w:rFonts w:eastAsiaTheme="minorHAnsi"/>
          <w:sz w:val="24"/>
          <w:szCs w:val="24"/>
        </w:rPr>
      </w:pPr>
      <w:r>
        <w:rPr>
          <w:rFonts w:eastAsiaTheme="minorHAnsi"/>
          <w:sz w:val="24"/>
          <w:szCs w:val="24"/>
        </w:rPr>
        <w:t>A locação de veículos representa, em regra, solução viável por evitar contratações correlatas relacionadas à gestão de manutenção dos veículos. Entretanto, a dimensão da necessidade em estudo representa apenas pequena parcela das necessidades totais do órgão, atualmente atendidas pela frota oficial.</w:t>
      </w:r>
    </w:p>
    <w:p w14:paraId="0975D3D3">
      <w:pPr>
        <w:pStyle w:val="61"/>
        <w:widowControl w:val="0"/>
        <w:numPr>
          <w:ilvl w:val="1"/>
          <w:numId w:val="15"/>
        </w:numPr>
        <w:tabs>
          <w:tab w:val="left" w:pos="504"/>
        </w:tabs>
        <w:autoSpaceDE w:val="0"/>
        <w:autoSpaceDN w:val="0"/>
        <w:spacing w:before="274"/>
        <w:ind w:right="326" w:firstLine="0"/>
        <w:contextualSpacing w:val="0"/>
        <w:jc w:val="both"/>
        <w:rPr>
          <w:rFonts w:eastAsiaTheme="minorHAnsi"/>
          <w:sz w:val="24"/>
          <w:szCs w:val="24"/>
        </w:rPr>
      </w:pPr>
      <w:r>
        <w:rPr>
          <w:rFonts w:eastAsiaTheme="minorHAnsi"/>
          <w:sz w:val="24"/>
          <w:szCs w:val="24"/>
        </w:rPr>
        <w:t>Por outro lado, a aquisição de veículos novos agregará garantia contratual geralmente de 1 a 3 anos, prazo em que o custo de manutenção com o equipamento será quase integralmente suprimido. Além disso, prescindirá de novas contratações correlatas para a gestão, podendo utilizar os atuais contratos à disposição da frota.</w:t>
      </w:r>
    </w:p>
    <w:p w14:paraId="084BEEA4">
      <w:pPr>
        <w:pStyle w:val="61"/>
        <w:widowControl w:val="0"/>
        <w:numPr>
          <w:ilvl w:val="1"/>
          <w:numId w:val="15"/>
        </w:numPr>
        <w:tabs>
          <w:tab w:val="left" w:pos="470"/>
        </w:tabs>
        <w:autoSpaceDE w:val="0"/>
        <w:autoSpaceDN w:val="0"/>
        <w:spacing w:before="272"/>
        <w:ind w:right="332" w:firstLine="0"/>
        <w:contextualSpacing w:val="0"/>
        <w:jc w:val="both"/>
        <w:rPr>
          <w:rFonts w:eastAsiaTheme="minorHAnsi"/>
          <w:sz w:val="24"/>
          <w:szCs w:val="24"/>
        </w:rPr>
      </w:pPr>
      <w:r>
        <w:rPr>
          <w:rFonts w:eastAsiaTheme="minorHAnsi"/>
          <w:sz w:val="24"/>
          <w:szCs w:val="24"/>
        </w:rPr>
        <w:t>Assim é imprescindível a renovação, pelo menos parcial da frota, o que poderá ser providenciado pela aquisição de veículo novo conforme propõe este estudo.</w:t>
      </w:r>
    </w:p>
    <w:p w14:paraId="640ECAC4">
      <w:pPr>
        <w:pStyle w:val="20"/>
        <w:rPr>
          <w:rFonts w:ascii="Times New Roman" w:hAnsi="Times New Roman" w:cs="Times New Roman" w:eastAsiaTheme="minorHAnsi"/>
          <w:lang w:val="pt-BR"/>
        </w:rPr>
      </w:pPr>
    </w:p>
    <w:p w14:paraId="26859C18">
      <w:pPr>
        <w:pStyle w:val="61"/>
        <w:widowControl w:val="0"/>
        <w:numPr>
          <w:ilvl w:val="1"/>
          <w:numId w:val="15"/>
        </w:numPr>
        <w:tabs>
          <w:tab w:val="left" w:pos="455"/>
        </w:tabs>
        <w:autoSpaceDE w:val="0"/>
        <w:autoSpaceDN w:val="0"/>
        <w:ind w:right="328" w:firstLine="0"/>
        <w:contextualSpacing w:val="0"/>
        <w:jc w:val="both"/>
        <w:rPr>
          <w:rFonts w:eastAsiaTheme="minorHAnsi"/>
          <w:sz w:val="24"/>
          <w:szCs w:val="24"/>
        </w:rPr>
      </w:pPr>
      <w:r>
        <w:rPr>
          <w:rFonts w:eastAsiaTheme="minorHAnsi"/>
          <w:sz w:val="24"/>
          <w:szCs w:val="24"/>
        </w:rPr>
        <w:t>A caracterização do veículo foi estabelecida com base na experiência de aquisições anteriores e na busca de padronização das características da frota do Fundo, visando à maior vantajosidade econômica – custo/benefício (economia de combustíveis, menores gastos com manutenção preventiva e corretiva, etc.).</w:t>
      </w:r>
    </w:p>
    <w:p w14:paraId="6EC204DB">
      <w:pPr>
        <w:pStyle w:val="61"/>
        <w:widowControl w:val="0"/>
        <w:numPr>
          <w:ilvl w:val="1"/>
          <w:numId w:val="15"/>
        </w:numPr>
        <w:tabs>
          <w:tab w:val="left" w:pos="425"/>
        </w:tabs>
        <w:autoSpaceDE w:val="0"/>
        <w:autoSpaceDN w:val="0"/>
        <w:spacing w:before="271"/>
        <w:ind w:right="336" w:firstLine="0"/>
        <w:contextualSpacing w:val="0"/>
        <w:jc w:val="both"/>
        <w:rPr>
          <w:rFonts w:eastAsiaTheme="minorHAnsi"/>
          <w:sz w:val="24"/>
          <w:szCs w:val="24"/>
        </w:rPr>
      </w:pPr>
      <w:r>
        <w:rPr>
          <w:rFonts w:eastAsiaTheme="minorHAnsi"/>
          <w:sz w:val="24"/>
          <w:szCs w:val="24"/>
        </w:rPr>
        <mc:AlternateContent>
          <mc:Choice Requires="wps">
            <w:drawing>
              <wp:anchor distT="0" distB="0" distL="0" distR="0" simplePos="0" relativeHeight="251663360" behindDoc="1" locked="0" layoutInCell="1" allowOverlap="1">
                <wp:simplePos x="0" y="0"/>
                <wp:positionH relativeFrom="page">
                  <wp:posOffset>1080770</wp:posOffset>
                </wp:positionH>
                <wp:positionV relativeFrom="paragraph">
                  <wp:posOffset>520700</wp:posOffset>
                </wp:positionV>
                <wp:extent cx="5367020" cy="180340"/>
                <wp:effectExtent l="0" t="0" r="0" b="0"/>
                <wp:wrapNone/>
                <wp:docPr id="11" name="Forma Livre: Forma 8"/>
                <wp:cNvGraphicFramePr/>
                <a:graphic xmlns:a="http://schemas.openxmlformats.org/drawingml/2006/main">
                  <a:graphicData uri="http://schemas.microsoft.com/office/word/2010/wordprocessingShape">
                    <wps:wsp>
                      <wps:cNvSpPr/>
                      <wps:spPr>
                        <a:xfrm>
                          <a:off x="0" y="0"/>
                          <a:ext cx="5367020" cy="180340"/>
                        </a:xfrm>
                        <a:custGeom>
                          <a:avLst/>
                          <a:gdLst/>
                          <a:ahLst/>
                          <a:cxnLst/>
                          <a:rect l="l" t="t" r="r" b="b"/>
                          <a:pathLst>
                            <a:path w="5367020" h="180340">
                              <a:moveTo>
                                <a:pt x="5366893" y="0"/>
                              </a:moveTo>
                              <a:lnTo>
                                <a:pt x="0" y="0"/>
                              </a:lnTo>
                              <a:lnTo>
                                <a:pt x="0" y="179831"/>
                              </a:lnTo>
                              <a:lnTo>
                                <a:pt x="5366893" y="179831"/>
                              </a:lnTo>
                              <a:lnTo>
                                <a:pt x="5366893" y="0"/>
                              </a:lnTo>
                              <a:close/>
                            </a:path>
                          </a:pathLst>
                        </a:custGeom>
                        <a:solidFill>
                          <a:srgbClr val="FFFFFF"/>
                        </a:solidFill>
                      </wps:spPr>
                      <wps:bodyPr wrap="square" lIns="0" tIns="0" rIns="0" bIns="0" rtlCol="0">
                        <a:noAutofit/>
                      </wps:bodyPr>
                    </wps:wsp>
                  </a:graphicData>
                </a:graphic>
              </wp:anchor>
            </w:drawing>
          </mc:Choice>
          <mc:Fallback>
            <w:pict>
              <v:shape id="Forma Livre: Forma 8" o:spid="_x0000_s1026" o:spt="100" style="position:absolute;left:0pt;margin-left:85.1pt;margin-top:41pt;height:14.2pt;width:422.6pt;mso-position-horizontal-relative:page;z-index:-251653120;mso-width-relative:page;mso-height-relative:page;" fillcolor="#FFFFFF" filled="t" stroked="f" coordsize="5367020,180340" o:gfxdata="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pFDhdgAAAALAQAADwAAAAAAAAABACAAAAAiAAAAZHJzL2Rvd25yZXYueG1sUEsB&#10;AhQAFAAAAAgAh07iQHuNYEsuAgAA8AQAAA4AAAAAAAAAAQAgAAAAJwEAAGRycy9lMm9Eb2MueG1s&#10;UEsFBgAAAAAGAAYAWQEAAMcFAAAAAA==&#10;" path="m5366893,0l0,0,0,179831,5366893,179831,5366893,0xe">
                <v:fill on="t" focussize="0,0"/>
                <v:stroke on="f"/>
                <v:imagedata o:title=""/>
                <o:lock v:ext="edit" aspectratio="f"/>
                <v:textbox inset="0mm,0mm,0mm,0mm"/>
              </v:shape>
            </w:pict>
          </mc:Fallback>
        </mc:AlternateContent>
      </w:r>
      <w:r>
        <w:rPr>
          <w:rFonts w:eastAsiaTheme="minorHAnsi"/>
          <w:sz w:val="24"/>
          <w:szCs w:val="24"/>
        </w:rPr>
        <w:t>A solução escolhida, em relação às outras soluções apresentadas, se mostra a mais viável em virtude de, no caso da solução que considera a aquisição de baterias automotivas, para atender à Secretaria, ser a mais eficiente daquelas disponíveis.</w:t>
      </w:r>
    </w:p>
    <w:p w14:paraId="244131FB">
      <w:pPr>
        <w:pStyle w:val="61"/>
        <w:widowControl w:val="0"/>
        <w:numPr>
          <w:ilvl w:val="1"/>
          <w:numId w:val="15"/>
        </w:numPr>
        <w:tabs>
          <w:tab w:val="left" w:pos="425"/>
        </w:tabs>
        <w:autoSpaceDE w:val="0"/>
        <w:autoSpaceDN w:val="0"/>
        <w:spacing w:before="271"/>
        <w:ind w:right="336" w:firstLine="0"/>
        <w:contextualSpacing w:val="0"/>
        <w:jc w:val="both"/>
        <w:rPr>
          <w:rFonts w:eastAsiaTheme="minorHAnsi"/>
          <w:sz w:val="24"/>
          <w:szCs w:val="24"/>
        </w:rPr>
      </w:pPr>
      <w:r>
        <w:rPr>
          <w:rFonts w:eastAsiaTheme="minorHAnsi"/>
          <w:sz w:val="24"/>
          <w:szCs w:val="24"/>
        </w:rPr>
        <w:t>A aquisição em questão amplamente transparente, sendo que todas as empresas do ramo teriam capacidade técnica necessária para executar o contrato favorecendo a competitividade do certame.</w:t>
      </w:r>
    </w:p>
    <w:p w14:paraId="74273DBA">
      <w:pPr>
        <w:pStyle w:val="61"/>
        <w:rPr>
          <w:rFonts w:eastAsiaTheme="minorHAnsi"/>
          <w:sz w:val="24"/>
          <w:szCs w:val="24"/>
        </w:rPr>
      </w:pPr>
    </w:p>
    <w:p w14:paraId="2077F6B8">
      <w:pPr>
        <w:pStyle w:val="61"/>
        <w:widowControl w:val="0"/>
        <w:numPr>
          <w:ilvl w:val="1"/>
          <w:numId w:val="15"/>
        </w:numPr>
        <w:tabs>
          <w:tab w:val="left" w:pos="410"/>
        </w:tabs>
        <w:autoSpaceDE w:val="0"/>
        <w:autoSpaceDN w:val="0"/>
        <w:ind w:right="341" w:firstLine="0"/>
        <w:contextualSpacing w:val="0"/>
        <w:jc w:val="both"/>
        <w:rPr>
          <w:rFonts w:eastAsiaTheme="minorHAnsi"/>
          <w:sz w:val="24"/>
          <w:szCs w:val="24"/>
        </w:rPr>
      </w:pPr>
      <w:r>
        <w:rPr>
          <w:rFonts w:eastAsiaTheme="minorHAnsi"/>
          <w:sz w:val="24"/>
          <w:szCs w:val="24"/>
        </w:rPr>
        <w:t>Em análise comparativa ficaram demonstradas as vantagens (pontos fortes) e desvantagens (riscos, limitações, problemas) referentes à adoção de cada solução, demonstrando como cada uma delas cumpre ou descumpre os requisitos da aquisição.</w:t>
      </w:r>
    </w:p>
    <w:p w14:paraId="3540A4EB">
      <w:pPr>
        <w:tabs>
          <w:tab w:val="left" w:pos="410"/>
        </w:tabs>
        <w:ind w:right="341"/>
        <w:rPr>
          <w:sz w:val="24"/>
          <w:szCs w:val="24"/>
        </w:rPr>
      </w:pPr>
    </w:p>
    <w:p w14:paraId="0C03AE6E">
      <w:pPr>
        <w:pStyle w:val="61"/>
        <w:rPr>
          <w:rFonts w:eastAsiaTheme="minorHAnsi"/>
          <w:sz w:val="24"/>
          <w:szCs w:val="24"/>
        </w:rPr>
      </w:pPr>
    </w:p>
    <w:p w14:paraId="04476A63">
      <w:pPr>
        <w:pStyle w:val="61"/>
        <w:rPr>
          <w:rFonts w:eastAsiaTheme="minorHAnsi"/>
          <w:sz w:val="24"/>
          <w:szCs w:val="24"/>
        </w:rPr>
      </w:pPr>
    </w:p>
    <w:p w14:paraId="42C902D3">
      <w:pPr>
        <w:pStyle w:val="61"/>
        <w:widowControl w:val="0"/>
        <w:numPr>
          <w:ilvl w:val="1"/>
          <w:numId w:val="15"/>
        </w:numPr>
        <w:tabs>
          <w:tab w:val="left" w:pos="410"/>
        </w:tabs>
        <w:autoSpaceDE w:val="0"/>
        <w:autoSpaceDN w:val="0"/>
        <w:ind w:right="341" w:firstLine="0"/>
        <w:contextualSpacing w:val="0"/>
        <w:jc w:val="both"/>
        <w:rPr>
          <w:rFonts w:eastAsiaTheme="minorHAnsi"/>
          <w:sz w:val="24"/>
          <w:szCs w:val="24"/>
        </w:rPr>
      </w:pPr>
      <w:r>
        <w:rPr>
          <w:rFonts w:eastAsiaTheme="minorHAnsi"/>
          <w:sz w:val="24"/>
          <w:szCs w:val="24"/>
        </w:rPr>
        <w:t xml:space="preserve">A solução se refere ao conjunto de todos os elementos (bens, serviços e outros) </w:t>
      </w:r>
    </w:p>
    <w:p w14:paraId="347E2E99">
      <w:pPr>
        <w:tabs>
          <w:tab w:val="left" w:pos="410"/>
        </w:tabs>
        <w:ind w:left="222" w:right="341"/>
        <w:jc w:val="both"/>
        <w:rPr>
          <w:sz w:val="24"/>
          <w:szCs w:val="24"/>
        </w:rPr>
      </w:pPr>
      <w:r>
        <w:rPr>
          <w:sz w:val="24"/>
          <w:szCs w:val="24"/>
        </w:rPr>
        <w:t>necessários para, de forma integrada, gerar os resultados que atendam à Secretaria, ficando evidenciado todas as partes necessárias ao atendimento da demanda, necessidade ou problema, inclusive abordando exigências relacionadas à manutenção e à assistência técnica, quando for o caso.</w:t>
      </w:r>
    </w:p>
    <w:p w14:paraId="67CE642B">
      <w:pPr>
        <w:pStyle w:val="61"/>
        <w:widowControl w:val="0"/>
        <w:numPr>
          <w:ilvl w:val="1"/>
          <w:numId w:val="15"/>
        </w:numPr>
        <w:tabs>
          <w:tab w:val="left" w:pos="410"/>
        </w:tabs>
        <w:autoSpaceDE w:val="0"/>
        <w:autoSpaceDN w:val="0"/>
        <w:ind w:right="341" w:firstLine="0"/>
        <w:contextualSpacing w:val="0"/>
        <w:jc w:val="both"/>
        <w:rPr>
          <w:rFonts w:eastAsiaTheme="minorHAnsi"/>
          <w:sz w:val="24"/>
          <w:szCs w:val="24"/>
        </w:rPr>
      </w:pPr>
      <w:r>
        <w:rPr>
          <w:rFonts w:eastAsiaTheme="minorHAnsi"/>
          <w:sz w:val="24"/>
          <w:szCs w:val="24"/>
        </w:rPr>
        <w:t>Como benefícios resultantes desta aquisição espera-se melhor atender às demandas por dispositivos que possibilitem a acessibilidade de pessoas com algum tipo de deficiência ou mobilidade reduzida, sendo inclusive questão de saúde pública em caso da sua ausência, contribuindo de forma significativa para a preservação do Patrimônio Público e o bem-estar dos usuários. A aquisição proposta será benéfica e vantajosa, uma vez que:</w:t>
      </w:r>
    </w:p>
    <w:p w14:paraId="73E5B57C">
      <w:pPr>
        <w:pStyle w:val="61"/>
        <w:tabs>
          <w:tab w:val="left" w:pos="410"/>
        </w:tabs>
        <w:ind w:right="341"/>
        <w:rPr>
          <w:rFonts w:eastAsiaTheme="minorHAnsi"/>
          <w:sz w:val="24"/>
          <w:szCs w:val="24"/>
        </w:rPr>
      </w:pPr>
    </w:p>
    <w:p w14:paraId="4E705D84">
      <w:pPr>
        <w:pStyle w:val="61"/>
        <w:widowControl w:val="0"/>
        <w:numPr>
          <w:ilvl w:val="0"/>
          <w:numId w:val="16"/>
        </w:numPr>
        <w:tabs>
          <w:tab w:val="left" w:pos="362"/>
        </w:tabs>
        <w:autoSpaceDE w:val="0"/>
        <w:autoSpaceDN w:val="0"/>
        <w:ind w:right="333" w:firstLine="0"/>
        <w:contextualSpacing w:val="0"/>
        <w:jc w:val="both"/>
        <w:rPr>
          <w:rFonts w:eastAsiaTheme="minorHAnsi"/>
          <w:sz w:val="24"/>
          <w:szCs w:val="24"/>
        </w:rPr>
      </w:pPr>
      <w:r>
        <w:rPr>
          <w:rFonts w:eastAsiaTheme="minorHAnsi"/>
          <w:sz w:val="24"/>
          <w:szCs w:val="24"/>
        </w:rPr>
        <w:t>O planejamento para esta aquisição ora pretendida foi realizado buscando o melhor aproveitamento dos recursos humanos, materiais e/ou financeiros despendidos na aquisição de serviços, contemplando assim, a demanda das atividades essenciais e auxiliares às atividades acadêmicas e administrativas;</w:t>
      </w:r>
    </w:p>
    <w:p w14:paraId="47C07A61">
      <w:pPr>
        <w:pStyle w:val="61"/>
        <w:tabs>
          <w:tab w:val="left" w:pos="362"/>
        </w:tabs>
        <w:ind w:right="333"/>
        <w:rPr>
          <w:rFonts w:eastAsiaTheme="minorHAnsi"/>
          <w:sz w:val="24"/>
          <w:szCs w:val="24"/>
        </w:rPr>
      </w:pPr>
    </w:p>
    <w:p w14:paraId="3E23A485">
      <w:pPr>
        <w:pStyle w:val="61"/>
        <w:widowControl w:val="0"/>
        <w:numPr>
          <w:ilvl w:val="0"/>
          <w:numId w:val="16"/>
        </w:numPr>
        <w:tabs>
          <w:tab w:val="left" w:pos="413"/>
        </w:tabs>
        <w:autoSpaceDE w:val="0"/>
        <w:autoSpaceDN w:val="0"/>
        <w:ind w:right="337" w:firstLine="0"/>
        <w:contextualSpacing w:val="0"/>
        <w:jc w:val="both"/>
        <w:rPr>
          <w:sz w:val="24"/>
          <w:szCs w:val="24"/>
        </w:rPr>
      </w:pPr>
      <w:r>
        <w:rPr>
          <w:rFonts w:eastAsiaTheme="minorHAnsi"/>
          <w:sz w:val="24"/>
          <w:szCs w:val="24"/>
        </w:rPr>
        <w:t>Os padrões aqui definidos, que contam com especificações usuais no mercado, permitirão a permanente mensuração qualitativa e quantitativa dos resultados, maximizando o aproveitamento dos serviços prestados;</w:t>
      </w:r>
    </w:p>
    <w:p w14:paraId="786B4E84">
      <w:pPr>
        <w:tabs>
          <w:tab w:val="left" w:pos="413"/>
        </w:tabs>
        <w:ind w:right="337"/>
        <w:rPr>
          <w:sz w:val="24"/>
          <w:szCs w:val="24"/>
        </w:rPr>
      </w:pPr>
    </w:p>
    <w:p w14:paraId="47B013BE">
      <w:pPr>
        <w:pStyle w:val="61"/>
        <w:widowControl w:val="0"/>
        <w:numPr>
          <w:ilvl w:val="0"/>
          <w:numId w:val="16"/>
        </w:numPr>
        <w:tabs>
          <w:tab w:val="left" w:pos="374"/>
        </w:tabs>
        <w:autoSpaceDE w:val="0"/>
        <w:autoSpaceDN w:val="0"/>
        <w:ind w:right="339" w:firstLine="0"/>
        <w:contextualSpacing w:val="0"/>
        <w:jc w:val="both"/>
        <w:rPr>
          <w:rFonts w:eastAsiaTheme="minorHAnsi"/>
          <w:sz w:val="24"/>
          <w:szCs w:val="24"/>
        </w:rPr>
      </w:pPr>
      <w:r>
        <w:rPr>
          <w:rFonts w:eastAsiaTheme="minorHAnsi"/>
          <w:sz w:val="24"/>
          <w:szCs w:val="24"/>
        </w:rPr>
        <w:t>Os parâmetros definidos para o objeto da aquisição e para execução contratual possibilitam obter preço compatível com a finalidade estabelecida;</w:t>
      </w:r>
    </w:p>
    <w:p w14:paraId="48F2282E">
      <w:pPr>
        <w:tabs>
          <w:tab w:val="left" w:pos="374"/>
        </w:tabs>
        <w:ind w:right="339"/>
        <w:rPr>
          <w:sz w:val="24"/>
          <w:szCs w:val="24"/>
        </w:rPr>
      </w:pPr>
    </w:p>
    <w:p w14:paraId="0CFC437B">
      <w:pPr>
        <w:pStyle w:val="61"/>
        <w:widowControl w:val="0"/>
        <w:numPr>
          <w:ilvl w:val="0"/>
          <w:numId w:val="16"/>
        </w:numPr>
        <w:tabs>
          <w:tab w:val="left" w:pos="348"/>
        </w:tabs>
        <w:autoSpaceDE w:val="0"/>
        <w:autoSpaceDN w:val="0"/>
        <w:ind w:right="337" w:firstLine="0"/>
        <w:contextualSpacing w:val="0"/>
        <w:jc w:val="both"/>
        <w:rPr>
          <w:rFonts w:eastAsiaTheme="minorHAnsi"/>
          <w:sz w:val="24"/>
          <w:szCs w:val="24"/>
        </w:rPr>
      </w:pPr>
      <w:r>
        <w:rPr>
          <w:rFonts w:eastAsiaTheme="minorHAnsi"/>
          <w:sz w:val="24"/>
          <w:szCs w:val="24"/>
        </w:rPr>
        <w:t>No que tange aos impactos ambientais da aquisição, foram relacionadas, neste estudo, as obrigações da contratada quanto a critérios de sustentabilidade, que vão desde rotinas até critérios que deverão ser respeitados quando da aquisição e disponibilização dos materiais.</w:t>
      </w:r>
    </w:p>
    <w:p w14:paraId="44B58632">
      <w:pPr>
        <w:tabs>
          <w:tab w:val="left" w:pos="348"/>
        </w:tabs>
        <w:ind w:right="337"/>
        <w:rPr>
          <w:sz w:val="24"/>
          <w:szCs w:val="24"/>
        </w:rPr>
      </w:pPr>
    </w:p>
    <w:p w14:paraId="02EA1511">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5. RELAÇÃO ENTRE DEMANDA ESTIMADA E QUANTIDADES PREVISTA</w:t>
      </w:r>
    </w:p>
    <w:p w14:paraId="6936EC0A">
      <w:pPr>
        <w:pStyle w:val="20"/>
        <w:spacing w:before="274"/>
        <w:ind w:right="332"/>
        <w:rPr>
          <w:rFonts w:ascii="Times New Roman" w:hAnsi="Times New Roman" w:cs="Times New Roman" w:eastAsiaTheme="minorHAnsi"/>
          <w:lang w:val="pt-BR"/>
        </w:rPr>
      </w:pPr>
      <w:r>
        <w:rPr>
          <w:rFonts w:ascii="Times New Roman" w:hAnsi="Times New Roman" w:cs="Times New Roman" w:eastAsiaTheme="minorHAnsi"/>
          <w:b/>
          <w:bCs/>
          <w:lang w:val="pt-BR"/>
        </w:rPr>
        <w:t>5.1-</w:t>
      </w:r>
      <w:r>
        <w:rPr>
          <w:rFonts w:ascii="Times New Roman" w:hAnsi="Times New Roman" w:cs="Times New Roman" w:eastAsiaTheme="minorHAnsi"/>
          <w:lang w:val="pt-BR"/>
        </w:rPr>
        <w:t xml:space="preserve"> Para a estimativa das quantidades, considerou-se a totalidade das necessidades da Secretaria Municipal de Saúde, bem assim os elementos constantes de procedimento análogo anterior e a projeção da razoabilidade deste quantitativo, para que se possa suprir as demandas aqui faladas.</w:t>
      </w:r>
    </w:p>
    <w:p w14:paraId="7B0A24AE">
      <w:pPr>
        <w:pStyle w:val="20"/>
        <w:spacing w:before="274"/>
        <w:ind w:right="334"/>
        <w:rPr>
          <w:rFonts w:ascii="Times New Roman" w:hAnsi="Times New Roman" w:cs="Times New Roman" w:eastAsiaTheme="minorHAnsi"/>
          <w:lang w:val="pt-BR"/>
        </w:rPr>
      </w:pPr>
      <w:r>
        <w:rPr>
          <w:rFonts w:ascii="Times New Roman" w:hAnsi="Times New Roman" w:cs="Times New Roman" w:eastAsiaTheme="minorHAnsi"/>
          <w:b/>
          <w:bCs/>
          <w:lang w:val="pt-BR"/>
        </w:rPr>
        <w:t>5.2-</w:t>
      </w:r>
      <w:r>
        <w:rPr>
          <w:rFonts w:ascii="Times New Roman" w:hAnsi="Times New Roman" w:cs="Times New Roman" w:eastAsiaTheme="minorHAnsi"/>
          <w:lang w:val="pt-BR"/>
        </w:rPr>
        <w:t xml:space="preserve"> As quantidades a serem adquiridas foram estimadas em função do consumo, obtidos a partir de fatos concretos como série histórica do consumo, acrescidas de eventuais ocorrências vindouras capazes de impactar os quantitativos demandados e acréscimos de atividades. Foi realizado ainda o levantamento de mercado considerando as disponibilidades, características e oferta local e regional.</w:t>
      </w:r>
    </w:p>
    <w:p w14:paraId="4F2E3161">
      <w:pPr>
        <w:pStyle w:val="20"/>
        <w:spacing w:before="274"/>
        <w:ind w:right="334"/>
        <w:rPr>
          <w:rFonts w:ascii="Times New Roman" w:hAnsi="Times New Roman" w:cs="Times New Roman" w:eastAsiaTheme="minorHAnsi"/>
          <w:lang w:val="pt-BR"/>
        </w:rPr>
      </w:pPr>
      <w:r>
        <w:rPr>
          <w:rFonts w:ascii="Times New Roman" w:hAnsi="Times New Roman" w:cs="Times New Roman" w:eastAsiaTheme="minorHAnsi"/>
          <w:b/>
          <w:bCs/>
          <w:lang w:val="pt-BR"/>
        </w:rPr>
        <w:t>5.3-</w:t>
      </w:r>
      <w:r>
        <w:rPr>
          <w:rFonts w:ascii="Times New Roman" w:hAnsi="Times New Roman" w:cs="Times New Roman" w:eastAsiaTheme="minorHAnsi"/>
          <w:lang w:val="pt-BR"/>
        </w:rPr>
        <w:t xml:space="preserve"> Destaca-se que, muito provavelmente a modulagem da licitação passe pelo fornecimento parcelado, cujos contornos aparentam ser apropriados. Se assim for, os quantitativos são sob certo aspecto incertos, porém determináveis com a utilização das </w:t>
      </w:r>
    </w:p>
    <w:p w14:paraId="3A292DFB">
      <w:pPr>
        <w:pStyle w:val="20"/>
        <w:spacing w:before="274"/>
        <w:ind w:right="334"/>
        <w:rPr>
          <w:rFonts w:ascii="Times New Roman" w:hAnsi="Times New Roman" w:cs="Times New Roman" w:eastAsiaTheme="minorHAnsi"/>
          <w:lang w:val="pt-BR"/>
        </w:rPr>
      </w:pPr>
    </w:p>
    <w:p w14:paraId="58D5C48F">
      <w:pPr>
        <w:pStyle w:val="20"/>
        <w:spacing w:before="274"/>
        <w:ind w:right="334"/>
        <w:rPr>
          <w:rFonts w:ascii="Times New Roman" w:hAnsi="Times New Roman" w:cs="Times New Roman" w:eastAsiaTheme="minorHAnsi"/>
          <w:lang w:val="pt-BR"/>
        </w:rPr>
      </w:pPr>
      <w:r>
        <w:rPr>
          <w:rFonts w:ascii="Times New Roman" w:hAnsi="Times New Roman" w:cs="Times New Roman" w:eastAsiaTheme="minorHAnsi"/>
          <w:lang w:val="pt-BR"/>
        </w:rPr>
        <w:t>autorizações de fornecimento periódicas, o que tal circunstância justifica a estimativa feita.</w:t>
      </w:r>
    </w:p>
    <w:p w14:paraId="1BE27BA4">
      <w:pPr>
        <w:pStyle w:val="20"/>
        <w:spacing w:before="274"/>
        <w:ind w:right="334"/>
        <w:rPr>
          <w:rFonts w:ascii="Times New Roman" w:hAnsi="Times New Roman" w:cs="Times New Roman" w:eastAsiaTheme="minorHAnsi"/>
          <w:lang w:val="pt-BR"/>
        </w:rPr>
      </w:pPr>
      <w:r>
        <w:rPr>
          <w:rFonts w:ascii="Times New Roman" w:hAnsi="Times New Roman" w:cs="Times New Roman" w:eastAsiaTheme="minorHAnsi"/>
          <w:b/>
          <w:bCs/>
          <w:lang w:val="pt-BR"/>
        </w:rPr>
        <w:t>5.4-</w:t>
      </w:r>
      <w:r>
        <w:rPr>
          <w:rFonts w:ascii="Times New Roman" w:hAnsi="Times New Roman" w:cs="Times New Roman" w:eastAsiaTheme="minorHAnsi"/>
          <w:lang w:val="pt-BR"/>
        </w:rPr>
        <w:t xml:space="preserve"> Seguindo a autorização contida na legislação vigente (art. 40, V, “b” e § 3º, Lei nº 14.133/2021), o caso reflete a flexibilização do princípio do parcelamento para melhor guarnecer a viabilidade técnica e econômica da aquisição, ante o sobrelevado risco de inutilidade do objeto perante eventual incompatibilidade.</w:t>
      </w:r>
    </w:p>
    <w:p w14:paraId="5AAE0650">
      <w:pPr>
        <w:pStyle w:val="20"/>
        <w:spacing w:before="275"/>
        <w:ind w:right="338"/>
        <w:rPr>
          <w:rFonts w:ascii="Times New Roman" w:hAnsi="Times New Roman" w:cs="Times New Roman" w:eastAsiaTheme="minorHAnsi"/>
          <w:lang w:val="pt-BR"/>
        </w:rPr>
      </w:pPr>
      <w:r>
        <w:rPr>
          <w:rFonts w:ascii="Times New Roman" w:hAnsi="Times New Roman" w:cs="Times New Roman" w:eastAsiaTheme="minorHAnsi"/>
          <w:b/>
          <w:bCs/>
          <w:lang w:val="pt-BR"/>
        </w:rPr>
        <w:t>5.5-</w:t>
      </w:r>
      <w:r>
        <w:rPr>
          <w:rFonts w:ascii="Times New Roman" w:hAnsi="Times New Roman" w:cs="Times New Roman" w:eastAsiaTheme="minorHAnsi"/>
          <w:lang w:val="pt-BR"/>
        </w:rPr>
        <w:t xml:space="preserve"> Ademais, consoante estudos promovidos no âmbito nacional, o mercado tem capacidade para atendimento da demanda na forma parcelada e por item, o que afasta eventuais questionamentos acerca de alguma fragilidade à competitividade do certame.</w:t>
      </w:r>
    </w:p>
    <w:p w14:paraId="61350CB1">
      <w:pPr>
        <w:pStyle w:val="20"/>
        <w:spacing w:before="271"/>
        <w:ind w:right="339"/>
        <w:rPr>
          <w:rFonts w:ascii="Times New Roman" w:hAnsi="Times New Roman" w:cs="Times New Roman" w:eastAsiaTheme="minorHAnsi"/>
          <w:lang w:val="pt-BR"/>
        </w:rPr>
      </w:pPr>
      <w:r>
        <w:rPr>
          <w:rFonts w:ascii="Times New Roman" w:hAnsi="Times New Roman" w:cs="Times New Roman" w:eastAsiaTheme="minorHAnsi"/>
          <w:b/>
          <w:bCs/>
          <w:lang w:val="pt-BR"/>
        </w:rPr>
        <w:t>5.6-</w:t>
      </w:r>
      <w:r>
        <w:rPr>
          <w:rFonts w:ascii="Times New Roman" w:hAnsi="Times New Roman" w:cs="Times New Roman" w:eastAsiaTheme="minorHAnsi"/>
          <w:lang w:val="pt-BR"/>
        </w:rPr>
        <w:t xml:space="preserve"> Conforme estudos preliminares, a análise do objeto pretendido com a aquisição revela a sua natureza “comum”, até por conta da averiguação de padrões de desempenho e qualidade que podem ser objetivamente definidos no edital, principalmente perante o parcelamento e as especificidades escolhidas para garantir a utilidade do produto pretendido na compra, reforçando o enquadramento fático à hipótese de aquisição na modalidade licitatória “pregão” (art. 29, Lei nº 14.133/2021).</w:t>
      </w:r>
    </w:p>
    <w:p w14:paraId="4B34D624">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before="240" w:after="0" w:line="360" w:lineRule="auto"/>
        <w:ind w:left="0"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 xml:space="preserve">     </w:t>
      </w:r>
      <w:r>
        <w:rPr>
          <w:rFonts w:ascii="Times New Roman" w:hAnsi="Times New Roman" w:cs="Times New Roman" w:eastAsiaTheme="minorHAnsi"/>
          <w:b/>
          <w:bCs/>
          <w:color w:val="auto"/>
          <w:sz w:val="24"/>
          <w:szCs w:val="24"/>
          <w:lang w:eastAsia="en-US"/>
        </w:rPr>
        <w:t>5.7-</w:t>
      </w:r>
      <w:r>
        <w:rPr>
          <w:rFonts w:ascii="Times New Roman" w:hAnsi="Times New Roman" w:cs="Times New Roman" w:eastAsiaTheme="minorHAnsi"/>
          <w:color w:val="auto"/>
          <w:sz w:val="24"/>
          <w:szCs w:val="24"/>
          <w:lang w:eastAsia="en-US"/>
        </w:rPr>
        <w:t xml:space="preserve"> Conforme planejamento, as especificações e quantidades em relação às suas adequabilidades frente às necessidades da Secretaria Municipal de Saúde são:</w:t>
      </w:r>
    </w:p>
    <w:tbl>
      <w:tblPr>
        <w:tblStyle w:val="37"/>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557"/>
        <w:gridCol w:w="1714"/>
        <w:gridCol w:w="5637"/>
      </w:tblGrid>
      <w:tr w14:paraId="5E6D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977" w:type="dxa"/>
            <w:shd w:val="clear" w:color="auto" w:fill="DBE5F1" w:themeFill="accent1" w:themeFillTint="33"/>
            <w:vAlign w:val="center"/>
          </w:tcPr>
          <w:p w14:paraId="4507F5E0">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ITEM</w:t>
            </w:r>
          </w:p>
        </w:tc>
        <w:tc>
          <w:tcPr>
            <w:tcW w:w="1557" w:type="dxa"/>
            <w:shd w:val="clear" w:color="auto" w:fill="DBE5F1" w:themeFill="accent1" w:themeFillTint="33"/>
            <w:vAlign w:val="center"/>
          </w:tcPr>
          <w:p w14:paraId="5D706133">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UNID./QUANTIDADE</w:t>
            </w:r>
          </w:p>
        </w:tc>
        <w:tc>
          <w:tcPr>
            <w:tcW w:w="1714" w:type="dxa"/>
            <w:shd w:val="clear" w:color="auto" w:fill="DBE5F1" w:themeFill="accent1" w:themeFillTint="33"/>
            <w:vAlign w:val="center"/>
          </w:tcPr>
          <w:p w14:paraId="3B4DBEAA">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DESCRIÇÃO</w:t>
            </w:r>
          </w:p>
        </w:tc>
        <w:tc>
          <w:tcPr>
            <w:tcW w:w="5637" w:type="dxa"/>
            <w:shd w:val="clear" w:color="auto" w:fill="DBE5F1" w:themeFill="accent1" w:themeFillTint="33"/>
            <w:vAlign w:val="center"/>
          </w:tcPr>
          <w:p w14:paraId="30985122">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ESPECIFICAÇÃO</w:t>
            </w:r>
          </w:p>
        </w:tc>
      </w:tr>
      <w:tr w14:paraId="57D4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jc w:val="center"/>
        </w:trPr>
        <w:tc>
          <w:tcPr>
            <w:tcW w:w="977" w:type="dxa"/>
            <w:vAlign w:val="center"/>
          </w:tcPr>
          <w:p w14:paraId="20AB1D5C">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1</w:t>
            </w:r>
          </w:p>
        </w:tc>
        <w:tc>
          <w:tcPr>
            <w:tcW w:w="1557" w:type="dxa"/>
            <w:vAlign w:val="center"/>
          </w:tcPr>
          <w:p w14:paraId="5F921CAD">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5</w:t>
            </w:r>
          </w:p>
        </w:tc>
        <w:tc>
          <w:tcPr>
            <w:tcW w:w="1714" w:type="dxa"/>
            <w:vAlign w:val="center"/>
          </w:tcPr>
          <w:p w14:paraId="0362F2EA">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SUV</w:t>
            </w:r>
          </w:p>
        </w:tc>
        <w:tc>
          <w:tcPr>
            <w:tcW w:w="5637" w:type="dxa"/>
            <w:vAlign w:val="center"/>
          </w:tcPr>
          <w:p w14:paraId="060DBB3A">
            <w:pPr>
              <w:pStyle w:val="99"/>
              <w:pBdr>
                <w:top w:val="none" w:color="auto" w:sz="0" w:space="0"/>
                <w:left w:val="none" w:color="auto" w:sz="0" w:space="0"/>
                <w:bottom w:val="none" w:color="auto" w:sz="0" w:space="0"/>
                <w:right w:val="none" w:color="auto" w:sz="0" w:space="0"/>
                <w:between w:val="none" w:color="auto" w:sz="0" w:space="0"/>
              </w:pBdr>
              <w:tabs>
                <w:tab w:val="left" w:pos="569"/>
                <w:tab w:val="left" w:pos="854"/>
                <w:tab w:val="left" w:pos="1154"/>
                <w:tab w:val="left" w:pos="1409"/>
                <w:tab w:val="left" w:pos="1664"/>
                <w:tab w:val="left" w:pos="1979"/>
                <w:tab w:val="left" w:pos="2234"/>
                <w:tab w:val="left" w:pos="7350"/>
              </w:tabs>
              <w:spacing w:line="240" w:lineRule="auto"/>
              <w:ind w:left="0"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sz w:val="24"/>
                <w:szCs w:val="24"/>
                <w:lang w:eastAsia="en-US"/>
              </w:rPr>
              <w:t xml:space="preserve">Veículo novo, zero km, popular, ano/modelo de fabricação mínimo 2024/2025, cor branca, transmissão manual, 4 portas, com todos os equipamentos obrigatórios exigidos pelo Contran, capacidade para 5 ocupantes. Motor 1.0 flex, 3 cilindros, com potência mínima de 68 cv (g) e 71 cv (e); capacidade mínima do tanque de combustível de 47 litros, direção elétrica, freios com sistema anti-bloqueio (abs) nas quatro rodas, sistema de distribuição eletrônica de frenagem (ebd), airbags frontais, cintos de segurança de 3 pontos para todos os ocupantes, encostos de cabeça para todos os ocupantes, faróis de neblina, travas elétricas nas portas, desembaçador do vidro traseiro, ar -condicionado, vidros elétricos dianteiros, rodas de aço, rádio fm com conexão usb, protetor de cárter/motor, jogo de tapetes e película instalada em todos os vidros, conforme a resolução nº 254 do Contran. </w:t>
            </w:r>
            <w:r>
              <w:rPr>
                <w:rFonts w:ascii="Times New Roman" w:hAnsi="Times New Roman" w:cs="Times New Roman" w:eastAsiaTheme="minorHAnsi"/>
                <w:color w:val="auto"/>
                <w:sz w:val="24"/>
                <w:szCs w:val="24"/>
                <w:lang w:eastAsia="en-US"/>
              </w:rPr>
              <w:t>Destinado a Secretaria Municipal de Saúde.</w:t>
            </w:r>
          </w:p>
        </w:tc>
      </w:tr>
      <w:tr w14:paraId="7297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 w:type="dxa"/>
            <w:vAlign w:val="center"/>
          </w:tcPr>
          <w:p w14:paraId="05AA69A6">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2</w:t>
            </w:r>
          </w:p>
        </w:tc>
        <w:tc>
          <w:tcPr>
            <w:tcW w:w="1557" w:type="dxa"/>
            <w:vAlign w:val="center"/>
          </w:tcPr>
          <w:p w14:paraId="75A3C67D">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1</w:t>
            </w:r>
          </w:p>
        </w:tc>
        <w:tc>
          <w:tcPr>
            <w:tcW w:w="1714" w:type="dxa"/>
            <w:vAlign w:val="center"/>
          </w:tcPr>
          <w:p w14:paraId="2702AAAA">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Monovolume/</w:t>
            </w:r>
          </w:p>
          <w:p w14:paraId="2C59FBF9">
            <w:pPr>
              <w:pStyle w:val="99"/>
              <w:tabs>
                <w:tab w:val="left" w:pos="569"/>
                <w:tab w:val="left" w:pos="854"/>
                <w:tab w:val="left" w:pos="1154"/>
                <w:tab w:val="left" w:pos="1409"/>
                <w:tab w:val="left" w:pos="1664"/>
                <w:tab w:val="left" w:pos="1979"/>
                <w:tab w:val="left" w:pos="2234"/>
                <w:tab w:val="left" w:pos="7350"/>
              </w:tabs>
              <w:spacing w:line="240" w:lineRule="auto"/>
              <w:ind w:left="0" w:firstLine="0"/>
              <w:jc w:val="center"/>
              <w:rPr>
                <w:rFonts w:ascii="Times New Roman" w:hAnsi="Times New Roman" w:cs="Times New Roman" w:eastAsiaTheme="minorHAnsi"/>
                <w:color w:val="auto"/>
                <w:sz w:val="24"/>
                <w:szCs w:val="24"/>
                <w:lang w:eastAsia="en-US"/>
              </w:rPr>
            </w:pPr>
            <w:r>
              <w:rPr>
                <w:rFonts w:ascii="Times New Roman" w:hAnsi="Times New Roman" w:cs="Times New Roman" w:eastAsiaTheme="minorHAnsi"/>
                <w:color w:val="auto"/>
                <w:sz w:val="24"/>
                <w:szCs w:val="24"/>
                <w:lang w:eastAsia="en-US"/>
              </w:rPr>
              <w:t>minivan</w:t>
            </w:r>
          </w:p>
        </w:tc>
        <w:tc>
          <w:tcPr>
            <w:tcW w:w="5637" w:type="dxa"/>
            <w:vAlign w:val="center"/>
          </w:tcPr>
          <w:p w14:paraId="13244C7D">
            <w:pPr>
              <w:pStyle w:val="99"/>
              <w:tabs>
                <w:tab w:val="left" w:pos="569"/>
                <w:tab w:val="left" w:pos="854"/>
                <w:tab w:val="left" w:pos="1154"/>
                <w:tab w:val="left" w:pos="1409"/>
                <w:tab w:val="left" w:pos="1664"/>
                <w:tab w:val="left" w:pos="1979"/>
                <w:tab w:val="left" w:pos="2234"/>
                <w:tab w:val="left" w:pos="7350"/>
              </w:tabs>
              <w:spacing w:line="240" w:lineRule="auto"/>
              <w:ind w:left="0" w:firstLine="0"/>
              <w:rPr>
                <w:rFonts w:ascii="Times New Roman" w:hAnsi="Times New Roman" w:cs="Times New Roman" w:eastAsiaTheme="minorHAnsi"/>
                <w:color w:val="auto"/>
                <w:sz w:val="24"/>
                <w:szCs w:val="24"/>
                <w:lang w:eastAsia="en-US"/>
              </w:rPr>
            </w:pPr>
            <w:r>
              <w:rPr>
                <w:rFonts w:ascii="Times New Roman" w:hAnsi="Times New Roman" w:cs="Times New Roman" w:eastAsiaTheme="minorHAnsi"/>
                <w:sz w:val="24"/>
                <w:szCs w:val="24"/>
                <w:lang w:eastAsia="en-US"/>
              </w:rPr>
              <w:t>Veículo utilitário do tipo spin novo, zero km, com as seguintes características: veículo de 7 lugares, na cor branca, zero km, ano 2024/2025, controle de estabilidade e tração, travas de segurança nas portas traseiras, airbag duplo e alarme antifurto, sistemas de fixação isofix e top tether para cadeirinhas infantis, rodas são de alumínio aro 16' rodas alumínio 6,5j x 16, pneus radiais 205/60 r16, capacidade de carga para 162l e pode chegar a 553l com o rebatimento do banco traseiro, câmbio automático de 6 velocidades, direção elétrica progressiva, motor 1.8 spe/4 eco de 4 cilindros e 111cv de potência, bluetooth® e controles de rádio e telefone integrados ao volante, sensor de estacionamento, câmera de ré e central multimídia tela touchscreen de 7 polegadas e de alta precisão, sistema de freios hidráulico com duplo circuito distribuído em diagonal, freios dianteiros a disco ventilado, freios traseiros a tambor, suspensão dianteira independente tipo "Mcpherson" / barra estabilizadora ligada a haste tensora /molas helicoidais com carga lateral linear amortecedor telescópico pressurizado estrutural, suspensão traseira semiindependente com eixo de torção / barra estabilizadora soldada no eixo traseiro / mola helicoidal com constante elástica linear / amortecedor telescópico pressurizado, tanque de combustível 53 litros.</w:t>
            </w:r>
            <w:r>
              <w:rPr>
                <w:rFonts w:ascii="Times New Roman" w:hAnsi="Times New Roman" w:cs="Times New Roman" w:eastAsiaTheme="minorHAnsi"/>
                <w:color w:val="auto"/>
                <w:sz w:val="24"/>
                <w:szCs w:val="24"/>
                <w:lang w:eastAsia="en-US"/>
              </w:rPr>
              <w:t xml:space="preserve"> Destinado a Secretaria Municipal de Saúde.</w:t>
            </w:r>
          </w:p>
        </w:tc>
      </w:tr>
    </w:tbl>
    <w:p w14:paraId="25F70A3F">
      <w:pPr>
        <w:pStyle w:val="61"/>
        <w:tabs>
          <w:tab w:val="left" w:pos="363"/>
        </w:tabs>
        <w:spacing w:before="1"/>
        <w:ind w:right="327"/>
        <w:rPr>
          <w:rFonts w:eastAsiaTheme="minorHAnsi"/>
          <w:sz w:val="24"/>
          <w:szCs w:val="24"/>
        </w:rPr>
      </w:pPr>
    </w:p>
    <w:p w14:paraId="1150C791">
      <w:pPr>
        <w:pStyle w:val="61"/>
        <w:tabs>
          <w:tab w:val="left" w:pos="363"/>
        </w:tabs>
        <w:ind w:right="327"/>
        <w:rPr>
          <w:rFonts w:eastAsiaTheme="minorHAnsi"/>
          <w:sz w:val="24"/>
          <w:szCs w:val="24"/>
        </w:rPr>
      </w:pPr>
      <w:r>
        <w:rPr>
          <w:rFonts w:eastAsiaTheme="minorHAnsi"/>
          <w:sz w:val="24"/>
          <w:szCs w:val="24"/>
        </w:rPr>
        <w:t xml:space="preserve">DESCRIÇÃO DOS REQUISITOS DA POTENCIAL AQUISIÇÃO. CARACTERÍSTICAS GERAIS: </w:t>
      </w:r>
    </w:p>
    <w:p w14:paraId="6304AD63">
      <w:pPr>
        <w:pStyle w:val="61"/>
        <w:tabs>
          <w:tab w:val="left" w:pos="363"/>
        </w:tabs>
        <w:ind w:right="327"/>
        <w:rPr>
          <w:rFonts w:eastAsiaTheme="minorHAnsi"/>
          <w:sz w:val="24"/>
          <w:szCs w:val="24"/>
        </w:rPr>
      </w:pPr>
    </w:p>
    <w:p w14:paraId="457C9325">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Veículo novo, zero quilômetro, ano/modelo 2024/2025 e primeiro emplacamento, conforme Deliberação nº 64/2008 CONTRAN (Ano modelo igual ou posterior à data do pregão);</w:t>
      </w:r>
    </w:p>
    <w:p w14:paraId="5725C6A9">
      <w:pPr>
        <w:pStyle w:val="61"/>
        <w:tabs>
          <w:tab w:val="left" w:pos="363"/>
        </w:tabs>
        <w:ind w:right="327"/>
        <w:rPr>
          <w:rFonts w:eastAsiaTheme="minorHAnsi"/>
          <w:sz w:val="24"/>
          <w:szCs w:val="24"/>
        </w:rPr>
      </w:pPr>
    </w:p>
    <w:p w14:paraId="5F432187">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Quatro portas laterais e uma tampa traseira com abertura vertical para cima;</w:t>
      </w:r>
    </w:p>
    <w:p w14:paraId="2D6A139B">
      <w:pPr>
        <w:tabs>
          <w:tab w:val="left" w:pos="363"/>
        </w:tabs>
        <w:rPr>
          <w:sz w:val="24"/>
          <w:szCs w:val="24"/>
        </w:rPr>
      </w:pPr>
    </w:p>
    <w:p w14:paraId="597EF9CC">
      <w:pPr>
        <w:pStyle w:val="61"/>
        <w:widowControl w:val="0"/>
        <w:numPr>
          <w:ilvl w:val="0"/>
          <w:numId w:val="17"/>
        </w:numPr>
        <w:tabs>
          <w:tab w:val="left" w:pos="363"/>
        </w:tabs>
        <w:autoSpaceDE w:val="0"/>
        <w:autoSpaceDN w:val="0"/>
        <w:ind w:right="326" w:firstLine="0"/>
        <w:contextualSpacing w:val="0"/>
        <w:jc w:val="both"/>
        <w:rPr>
          <w:rFonts w:eastAsiaTheme="minorHAnsi"/>
          <w:sz w:val="24"/>
          <w:szCs w:val="24"/>
        </w:rPr>
      </w:pPr>
      <w:r>
        <w:rPr>
          <w:rFonts w:eastAsiaTheme="minorHAnsi"/>
          <w:sz w:val="24"/>
          <w:szCs w:val="24"/>
        </w:rPr>
        <w:t>Vidros originais ou adaptados de fábrica (desde que a adaptação seja feita por empresa homologada pelo fabricante dos veículos), que deverão abrir e fechar completamente na vertical, com seus acionamentos por mecanismos elétricos, nas quatro portas;</w:t>
      </w:r>
    </w:p>
    <w:p w14:paraId="7741F4CD">
      <w:pPr>
        <w:tabs>
          <w:tab w:val="left" w:pos="363"/>
        </w:tabs>
        <w:ind w:right="326"/>
        <w:rPr>
          <w:sz w:val="24"/>
          <w:szCs w:val="24"/>
        </w:rPr>
      </w:pPr>
    </w:p>
    <w:p w14:paraId="385959AE">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O para-brisas dianteiro deve possuir faixa degradê no topo;</w:t>
      </w:r>
    </w:p>
    <w:p w14:paraId="56D22FC4">
      <w:pPr>
        <w:tabs>
          <w:tab w:val="left" w:pos="363"/>
        </w:tabs>
        <w:rPr>
          <w:sz w:val="24"/>
          <w:szCs w:val="24"/>
        </w:rPr>
      </w:pPr>
    </w:p>
    <w:p w14:paraId="587F5DF3">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Limpador com temporizador e lavador elétrico do para-brisa dianteiro;</w:t>
      </w:r>
    </w:p>
    <w:p w14:paraId="294414C3">
      <w:pPr>
        <w:pStyle w:val="61"/>
        <w:tabs>
          <w:tab w:val="left" w:pos="363"/>
        </w:tabs>
        <w:ind w:left="363"/>
        <w:rPr>
          <w:rFonts w:eastAsiaTheme="minorHAnsi"/>
          <w:sz w:val="24"/>
          <w:szCs w:val="24"/>
        </w:rPr>
      </w:pPr>
    </w:p>
    <w:p w14:paraId="33DD3C61">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Espelhos retrovisores esquerdo e direito externos com comando interno elétrico;</w:t>
      </w:r>
    </w:p>
    <w:p w14:paraId="49623047">
      <w:pPr>
        <w:pStyle w:val="61"/>
        <w:tabs>
          <w:tab w:val="left" w:pos="363"/>
        </w:tabs>
        <w:ind w:left="363"/>
        <w:rPr>
          <w:rFonts w:eastAsiaTheme="minorHAnsi"/>
          <w:sz w:val="24"/>
          <w:szCs w:val="24"/>
        </w:rPr>
      </w:pPr>
    </w:p>
    <w:p w14:paraId="56E2E1DE">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Indicador do nível de combustível;</w:t>
      </w:r>
    </w:p>
    <w:p w14:paraId="58FFE5D4">
      <w:pPr>
        <w:pStyle w:val="61"/>
        <w:tabs>
          <w:tab w:val="left" w:pos="363"/>
        </w:tabs>
        <w:ind w:left="363"/>
        <w:rPr>
          <w:rFonts w:eastAsiaTheme="minorHAnsi"/>
          <w:sz w:val="24"/>
          <w:szCs w:val="24"/>
        </w:rPr>
      </w:pPr>
    </w:p>
    <w:p w14:paraId="6C20CA3C">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Indicador de temperatura de motor;</w:t>
      </w:r>
    </w:p>
    <w:p w14:paraId="40FB3FEE">
      <w:pPr>
        <w:pStyle w:val="61"/>
        <w:tabs>
          <w:tab w:val="left" w:pos="363"/>
        </w:tabs>
        <w:ind w:left="363"/>
        <w:rPr>
          <w:rFonts w:eastAsiaTheme="minorHAnsi"/>
          <w:sz w:val="24"/>
          <w:szCs w:val="24"/>
        </w:rPr>
      </w:pPr>
    </w:p>
    <w:p w14:paraId="01D0691A">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Sistema de abertura da tampa do porta-malas com acionamento interno pelo motorista;</w:t>
      </w:r>
    </w:p>
    <w:p w14:paraId="335CC38B">
      <w:pPr>
        <w:pStyle w:val="61"/>
        <w:tabs>
          <w:tab w:val="left" w:pos="363"/>
        </w:tabs>
        <w:ind w:left="363"/>
        <w:rPr>
          <w:rFonts w:eastAsiaTheme="minorHAnsi"/>
          <w:sz w:val="24"/>
          <w:szCs w:val="24"/>
        </w:rPr>
      </w:pPr>
    </w:p>
    <w:p w14:paraId="08C66EB6">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Iluminação no porta-malas com acendimento automático ao abrir a tampa traseira;</w:t>
      </w:r>
    </w:p>
    <w:p w14:paraId="3F9203F9">
      <w:pPr>
        <w:pStyle w:val="61"/>
        <w:tabs>
          <w:tab w:val="left" w:pos="363"/>
        </w:tabs>
        <w:ind w:left="363"/>
        <w:rPr>
          <w:rFonts w:eastAsiaTheme="minorHAnsi"/>
          <w:sz w:val="24"/>
          <w:szCs w:val="24"/>
        </w:rPr>
      </w:pPr>
    </w:p>
    <w:p w14:paraId="5FAF48B6">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Grade de proteção metálica para cárter/motor, com estrutura e resistência compatível ao uso a que se destina, devidamente fixada na parte inferior externa do motor, que não cause interferência no sistema de absorção de impactos do conjunto motor/transmissão;</w:t>
      </w:r>
    </w:p>
    <w:p w14:paraId="6285657A">
      <w:pPr>
        <w:pStyle w:val="61"/>
        <w:tabs>
          <w:tab w:val="left" w:pos="363"/>
        </w:tabs>
        <w:ind w:left="363"/>
        <w:rPr>
          <w:rFonts w:eastAsiaTheme="minorHAnsi"/>
          <w:sz w:val="24"/>
          <w:szCs w:val="24"/>
        </w:rPr>
      </w:pPr>
    </w:p>
    <w:p w14:paraId="3292E0B9">
      <w:pPr>
        <w:pStyle w:val="61"/>
        <w:widowControl w:val="0"/>
        <w:numPr>
          <w:ilvl w:val="0"/>
          <w:numId w:val="17"/>
        </w:numPr>
        <w:tabs>
          <w:tab w:val="left" w:pos="363"/>
        </w:tabs>
        <w:autoSpaceDE w:val="0"/>
        <w:autoSpaceDN w:val="0"/>
        <w:ind w:left="363" w:hanging="141"/>
        <w:contextualSpacing w:val="0"/>
        <w:jc w:val="both"/>
        <w:rPr>
          <w:rFonts w:eastAsiaTheme="minorHAnsi"/>
          <w:sz w:val="24"/>
          <w:szCs w:val="24"/>
        </w:rPr>
      </w:pPr>
      <w:r>
        <w:rPr>
          <w:rFonts w:eastAsiaTheme="minorHAnsi"/>
          <w:sz w:val="24"/>
          <w:szCs w:val="24"/>
        </w:rPr>
        <w:t>Demais equipamentos obrigatórios exigidos pelo CONTRAN e em conformidade com o PROCONVE;</w:t>
      </w:r>
    </w:p>
    <w:p w14:paraId="47C3E629">
      <w:pPr>
        <w:pStyle w:val="61"/>
        <w:tabs>
          <w:tab w:val="left" w:pos="363"/>
        </w:tabs>
        <w:ind w:right="329"/>
        <w:rPr>
          <w:rFonts w:eastAsiaTheme="minorHAnsi"/>
          <w:sz w:val="24"/>
          <w:szCs w:val="24"/>
        </w:rPr>
      </w:pPr>
    </w:p>
    <w:p w14:paraId="41617B47">
      <w:pPr>
        <w:pStyle w:val="61"/>
        <w:widowControl w:val="0"/>
        <w:numPr>
          <w:ilvl w:val="0"/>
          <w:numId w:val="17"/>
        </w:numPr>
        <w:tabs>
          <w:tab w:val="left" w:pos="363"/>
        </w:tabs>
        <w:autoSpaceDE w:val="0"/>
        <w:autoSpaceDN w:val="0"/>
        <w:spacing w:line="237" w:lineRule="auto"/>
        <w:ind w:right="330" w:firstLine="0"/>
        <w:contextualSpacing w:val="0"/>
        <w:jc w:val="both"/>
        <w:rPr>
          <w:rFonts w:eastAsiaTheme="minorHAnsi"/>
          <w:sz w:val="24"/>
          <w:szCs w:val="24"/>
        </w:rPr>
      </w:pPr>
      <w:r>
        <w:rPr>
          <w:rFonts w:eastAsiaTheme="minorHAnsi"/>
          <w:sz w:val="24"/>
          <w:szCs w:val="24"/>
        </w:rPr>
        <w:t>O veículo deverá ser fornecido na cor branca, no padrão original de fábrica e de linha de produção comercializados no mercado.</w:t>
      </w:r>
    </w:p>
    <w:p w14:paraId="53C3181A">
      <w:pPr>
        <w:pStyle w:val="61"/>
        <w:tabs>
          <w:tab w:val="left" w:pos="363"/>
        </w:tabs>
        <w:spacing w:line="237" w:lineRule="auto"/>
        <w:ind w:right="330"/>
        <w:rPr>
          <w:rFonts w:eastAsiaTheme="minorHAnsi"/>
          <w:sz w:val="24"/>
          <w:szCs w:val="24"/>
        </w:rPr>
      </w:pPr>
    </w:p>
    <w:p w14:paraId="7E8077F5">
      <w:pPr>
        <w:pStyle w:val="61"/>
        <w:tabs>
          <w:tab w:val="left" w:pos="363"/>
        </w:tabs>
        <w:ind w:right="327"/>
        <w:rPr>
          <w:rFonts w:eastAsiaTheme="minorHAnsi"/>
          <w:sz w:val="24"/>
          <w:szCs w:val="24"/>
        </w:rPr>
      </w:pPr>
      <w:r>
        <w:rPr>
          <w:rFonts w:eastAsiaTheme="minorHAnsi"/>
          <w:sz w:val="24"/>
          <w:szCs w:val="24"/>
        </w:rPr>
        <w:t>DESEMPENHO</w:t>
      </w:r>
    </w:p>
    <w:p w14:paraId="2186DC08">
      <w:pPr>
        <w:pStyle w:val="61"/>
        <w:tabs>
          <w:tab w:val="left" w:pos="363"/>
        </w:tabs>
        <w:ind w:right="327"/>
        <w:rPr>
          <w:rFonts w:eastAsiaTheme="minorHAnsi"/>
          <w:sz w:val="24"/>
          <w:szCs w:val="24"/>
        </w:rPr>
      </w:pPr>
    </w:p>
    <w:p w14:paraId="4DB3D348">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Motor Flex (gasolina/etanol), aspirado ou turbo-comprimido;</w:t>
      </w:r>
    </w:p>
    <w:p w14:paraId="06BD49BA">
      <w:pPr>
        <w:pStyle w:val="61"/>
        <w:tabs>
          <w:tab w:val="left" w:pos="363"/>
        </w:tabs>
        <w:ind w:right="327"/>
        <w:rPr>
          <w:rFonts w:eastAsiaTheme="minorHAnsi"/>
          <w:sz w:val="24"/>
          <w:szCs w:val="24"/>
        </w:rPr>
      </w:pPr>
    </w:p>
    <w:p w14:paraId="26C20C82">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Com 4 cilindros, motor com potência mínima de 116 CV, a gasolina;</w:t>
      </w:r>
    </w:p>
    <w:p w14:paraId="7D66A9F2">
      <w:pPr>
        <w:pStyle w:val="61"/>
        <w:tabs>
          <w:tab w:val="left" w:pos="363"/>
        </w:tabs>
        <w:ind w:right="327"/>
        <w:rPr>
          <w:rFonts w:eastAsiaTheme="minorHAnsi"/>
          <w:sz w:val="24"/>
          <w:szCs w:val="24"/>
        </w:rPr>
      </w:pPr>
    </w:p>
    <w:p w14:paraId="66929722">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Tempo de aceleração de 0 a 100 Km/h igual ou menor a 10,2s;</w:t>
      </w:r>
    </w:p>
    <w:p w14:paraId="20BCD4B0">
      <w:pPr>
        <w:pStyle w:val="61"/>
        <w:tabs>
          <w:tab w:val="left" w:pos="363"/>
        </w:tabs>
        <w:ind w:right="327"/>
        <w:rPr>
          <w:rFonts w:eastAsiaTheme="minorHAnsi"/>
          <w:sz w:val="24"/>
          <w:szCs w:val="24"/>
        </w:rPr>
      </w:pPr>
    </w:p>
    <w:p w14:paraId="0738158B">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Velocidade máxima não inferior a 180Km/h;</w:t>
      </w:r>
    </w:p>
    <w:p w14:paraId="0D9F326B">
      <w:pPr>
        <w:pStyle w:val="61"/>
        <w:tabs>
          <w:tab w:val="left" w:pos="363"/>
        </w:tabs>
        <w:ind w:right="327"/>
        <w:rPr>
          <w:rFonts w:eastAsiaTheme="minorHAnsi"/>
          <w:sz w:val="24"/>
          <w:szCs w:val="24"/>
        </w:rPr>
      </w:pPr>
    </w:p>
    <w:p w14:paraId="2F5DD9D6">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Transmissão automática, de no mínimo 5 marchas à frente e uma à ré. Caso a transmissão seja automática, ela deve oferecer ao condutor botão ou alavanca para interação do condutor com o câmbio;</w:t>
      </w:r>
    </w:p>
    <w:p w14:paraId="3E7AAB9A">
      <w:pPr>
        <w:pStyle w:val="61"/>
        <w:tabs>
          <w:tab w:val="left" w:pos="363"/>
        </w:tabs>
        <w:ind w:right="327"/>
        <w:rPr>
          <w:rFonts w:eastAsiaTheme="minorHAnsi"/>
          <w:sz w:val="24"/>
          <w:szCs w:val="24"/>
        </w:rPr>
      </w:pPr>
    </w:p>
    <w:p w14:paraId="03160A04">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Tacômetro (conta giros do motor);</w:t>
      </w:r>
    </w:p>
    <w:p w14:paraId="7F8AF179">
      <w:pPr>
        <w:pStyle w:val="61"/>
        <w:tabs>
          <w:tab w:val="left" w:pos="363"/>
        </w:tabs>
        <w:ind w:right="327"/>
        <w:rPr>
          <w:rFonts w:eastAsiaTheme="minorHAnsi"/>
          <w:sz w:val="24"/>
          <w:szCs w:val="24"/>
        </w:rPr>
      </w:pPr>
    </w:p>
    <w:p w14:paraId="105EADBE">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Controle de tração.</w:t>
      </w:r>
    </w:p>
    <w:p w14:paraId="684FD54F">
      <w:pPr>
        <w:pStyle w:val="2"/>
        <w:spacing w:before="274"/>
        <w:rPr>
          <w:rFonts w:eastAsiaTheme="minorHAnsi"/>
          <w:b w:val="0"/>
          <w:bCs/>
          <w:sz w:val="24"/>
          <w:szCs w:val="24"/>
        </w:rPr>
      </w:pPr>
      <w:r>
        <w:rPr>
          <w:rFonts w:eastAsiaTheme="minorHAnsi"/>
          <w:b w:val="0"/>
          <w:sz w:val="24"/>
          <w:szCs w:val="24"/>
        </w:rPr>
        <w:t>SEGURANÇA:</w:t>
      </w:r>
    </w:p>
    <w:p w14:paraId="59B721DF">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Direção ELETROASSISTIDA (EPS), original de fábrica;</w:t>
      </w:r>
    </w:p>
    <w:p w14:paraId="619B509C">
      <w:pPr>
        <w:pStyle w:val="61"/>
        <w:tabs>
          <w:tab w:val="left" w:pos="363"/>
        </w:tabs>
        <w:ind w:right="327"/>
        <w:rPr>
          <w:rFonts w:eastAsiaTheme="minorHAnsi"/>
          <w:sz w:val="24"/>
          <w:szCs w:val="24"/>
        </w:rPr>
      </w:pPr>
    </w:p>
    <w:p w14:paraId="1E706064">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Freios a discos, com sistema anti travamento (ABS com gerenciamento eletrônico) integral das rodas, distribuição eletrônica da força de frenagem (EBD) e controle eletrônico de estabilidade;</w:t>
      </w:r>
    </w:p>
    <w:p w14:paraId="582EAF7F">
      <w:pPr>
        <w:pStyle w:val="61"/>
        <w:tabs>
          <w:tab w:val="left" w:pos="363"/>
        </w:tabs>
        <w:ind w:right="327"/>
        <w:rPr>
          <w:rFonts w:eastAsiaTheme="minorHAnsi"/>
          <w:sz w:val="24"/>
          <w:szCs w:val="24"/>
        </w:rPr>
      </w:pPr>
    </w:p>
    <w:p w14:paraId="120F8CCE">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Cintos de segurança para todos os passageiros, considerando sua lotação completa, sendo os laterais retráteis de três pontos e o central sub abdominal ou de três pontos;</w:t>
      </w:r>
    </w:p>
    <w:p w14:paraId="7999835D">
      <w:pPr>
        <w:pStyle w:val="61"/>
        <w:tabs>
          <w:tab w:val="left" w:pos="363"/>
        </w:tabs>
        <w:ind w:right="327"/>
        <w:rPr>
          <w:rFonts w:eastAsiaTheme="minorHAnsi"/>
          <w:sz w:val="24"/>
          <w:szCs w:val="24"/>
        </w:rPr>
      </w:pPr>
    </w:p>
    <w:p w14:paraId="11518066">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Sistema de retenção suplementar (airbag) de série;</w:t>
      </w:r>
    </w:p>
    <w:p w14:paraId="7EB77509">
      <w:pPr>
        <w:pStyle w:val="61"/>
        <w:tabs>
          <w:tab w:val="left" w:pos="363"/>
        </w:tabs>
        <w:ind w:right="327"/>
        <w:rPr>
          <w:rFonts w:eastAsiaTheme="minorHAnsi"/>
          <w:sz w:val="24"/>
          <w:szCs w:val="24"/>
        </w:rPr>
      </w:pPr>
    </w:p>
    <w:p w14:paraId="5F11CC02">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Ar condicionado de fábrica integrado frio/quente e com função desembaçante do para- brisa;</w:t>
      </w:r>
    </w:p>
    <w:p w14:paraId="48CC5EBD">
      <w:pPr>
        <w:pStyle w:val="61"/>
        <w:tabs>
          <w:tab w:val="left" w:pos="363"/>
        </w:tabs>
        <w:ind w:right="327"/>
        <w:rPr>
          <w:rFonts w:eastAsiaTheme="minorHAnsi"/>
          <w:sz w:val="24"/>
          <w:szCs w:val="24"/>
        </w:rPr>
      </w:pPr>
    </w:p>
    <w:p w14:paraId="635B55B8">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Desembaçador do vidro traseiro;</w:t>
      </w:r>
    </w:p>
    <w:p w14:paraId="41F4649C">
      <w:pPr>
        <w:pStyle w:val="61"/>
        <w:tabs>
          <w:tab w:val="left" w:pos="363"/>
        </w:tabs>
        <w:ind w:right="327"/>
        <w:rPr>
          <w:rFonts w:eastAsiaTheme="minorHAnsi"/>
          <w:sz w:val="24"/>
          <w:szCs w:val="24"/>
        </w:rPr>
      </w:pPr>
    </w:p>
    <w:p w14:paraId="57C49CAC">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Bancos dianteiros individuais com regulagem de distância e inclinação do encosto, com apoio para cabeça ajustáveis em altura, e banco traseiro com apoio para cabeça ajustáveis em altura integrados ao banco, na cor preta. Sendo opcional o apoio de cabeça no assento central do banco traseiro;</w:t>
      </w:r>
    </w:p>
    <w:p w14:paraId="2CBB50D2">
      <w:pPr>
        <w:pStyle w:val="61"/>
        <w:tabs>
          <w:tab w:val="left" w:pos="363"/>
        </w:tabs>
        <w:ind w:right="327"/>
        <w:rPr>
          <w:rFonts w:eastAsiaTheme="minorHAnsi"/>
          <w:sz w:val="24"/>
          <w:szCs w:val="24"/>
        </w:rPr>
      </w:pPr>
    </w:p>
    <w:p w14:paraId="29185611">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Barras de proteção lateral nas portas dianteira e traseiras;</w:t>
      </w:r>
    </w:p>
    <w:p w14:paraId="25AA927C">
      <w:pPr>
        <w:pStyle w:val="61"/>
        <w:tabs>
          <w:tab w:val="left" w:pos="363"/>
        </w:tabs>
        <w:ind w:right="327"/>
        <w:rPr>
          <w:rFonts w:eastAsiaTheme="minorHAnsi"/>
          <w:sz w:val="24"/>
          <w:szCs w:val="24"/>
        </w:rPr>
      </w:pPr>
    </w:p>
    <w:p w14:paraId="1BC25D64">
      <w:pPr>
        <w:pStyle w:val="61"/>
        <w:widowControl w:val="0"/>
        <w:numPr>
          <w:ilvl w:val="0"/>
          <w:numId w:val="17"/>
        </w:numPr>
        <w:tabs>
          <w:tab w:val="left" w:pos="363"/>
        </w:tabs>
        <w:autoSpaceDE w:val="0"/>
        <w:autoSpaceDN w:val="0"/>
        <w:ind w:right="327" w:firstLine="0"/>
        <w:contextualSpacing w:val="0"/>
        <w:jc w:val="both"/>
        <w:rPr>
          <w:sz w:val="24"/>
          <w:szCs w:val="24"/>
        </w:rPr>
      </w:pPr>
      <w:r>
        <w:rPr>
          <w:rFonts w:eastAsiaTheme="minorHAnsi"/>
          <w:sz w:val="24"/>
          <w:szCs w:val="24"/>
        </w:rPr>
        <w:t>Sistema adicional de luz de parada (brake light);</w:t>
      </w:r>
    </w:p>
    <w:p w14:paraId="0A857D9A">
      <w:pPr>
        <w:pStyle w:val="61"/>
        <w:tabs>
          <w:tab w:val="left" w:pos="363"/>
        </w:tabs>
        <w:ind w:right="327"/>
        <w:rPr>
          <w:rFonts w:eastAsiaTheme="minorHAnsi"/>
          <w:sz w:val="24"/>
          <w:szCs w:val="24"/>
        </w:rPr>
      </w:pPr>
    </w:p>
    <w:p w14:paraId="3E30403B">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Faróis auxiliares de neblina originais de fábrica.</w:t>
      </w:r>
    </w:p>
    <w:p w14:paraId="63DCA87E">
      <w:pPr>
        <w:tabs>
          <w:tab w:val="left" w:pos="363"/>
        </w:tabs>
        <w:ind w:right="327"/>
        <w:rPr>
          <w:rFonts w:eastAsiaTheme="minorHAnsi"/>
          <w:sz w:val="24"/>
          <w:szCs w:val="24"/>
        </w:rPr>
      </w:pPr>
    </w:p>
    <w:p w14:paraId="55393E3F">
      <w:pPr>
        <w:pStyle w:val="2"/>
        <w:spacing w:before="273"/>
        <w:rPr>
          <w:rFonts w:eastAsiaTheme="minorHAnsi"/>
          <w:b w:val="0"/>
          <w:bCs/>
          <w:sz w:val="24"/>
          <w:szCs w:val="24"/>
        </w:rPr>
      </w:pPr>
      <w:r>
        <w:rPr>
          <w:rFonts w:eastAsiaTheme="minorHAnsi"/>
          <w:b w:val="0"/>
          <w:sz w:val="24"/>
          <w:szCs w:val="24"/>
        </w:rPr>
        <w:t>RODAS E PNEUS:</w:t>
      </w:r>
    </w:p>
    <w:p w14:paraId="1015E363">
      <w:pPr>
        <w:pStyle w:val="61"/>
        <w:widowControl w:val="0"/>
        <w:numPr>
          <w:ilvl w:val="0"/>
          <w:numId w:val="17"/>
        </w:numPr>
        <w:tabs>
          <w:tab w:val="left" w:pos="363"/>
        </w:tabs>
        <w:autoSpaceDE w:val="0"/>
        <w:autoSpaceDN w:val="0"/>
        <w:ind w:right="328" w:firstLine="0"/>
        <w:contextualSpacing w:val="0"/>
        <w:jc w:val="both"/>
        <w:rPr>
          <w:rFonts w:eastAsiaTheme="minorHAnsi"/>
          <w:sz w:val="24"/>
          <w:szCs w:val="24"/>
        </w:rPr>
      </w:pPr>
      <w:r>
        <w:rPr>
          <w:rFonts w:eastAsiaTheme="minorHAnsi"/>
          <w:sz w:val="24"/>
          <w:szCs w:val="24"/>
        </w:rPr>
        <w:t>Rodas de liga leve idênticas às fornecidas ao mercado varejista, de medidas compatíveis com o pneu utilizado, montadas com pneus idênticos aos do veículo original de fábrica, inclusive índices de velocidade e carga suportada;</w:t>
      </w:r>
    </w:p>
    <w:p w14:paraId="32C1010B">
      <w:pPr>
        <w:pStyle w:val="61"/>
        <w:tabs>
          <w:tab w:val="left" w:pos="363"/>
        </w:tabs>
        <w:ind w:right="328"/>
        <w:rPr>
          <w:rFonts w:eastAsiaTheme="minorHAnsi"/>
          <w:sz w:val="24"/>
          <w:szCs w:val="24"/>
        </w:rPr>
      </w:pPr>
    </w:p>
    <w:p w14:paraId="3151BFB0">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O pneu deve suportar o peso do veículo e resistir às sobrecargas dinâmicas produzidas em aceleração e frenagem, pavimentação precária e buracos.</w:t>
      </w:r>
    </w:p>
    <w:p w14:paraId="5FD0076D">
      <w:pPr>
        <w:pStyle w:val="2"/>
        <w:spacing w:before="272"/>
        <w:rPr>
          <w:rFonts w:eastAsiaTheme="minorHAnsi"/>
          <w:b w:val="0"/>
          <w:bCs/>
          <w:sz w:val="24"/>
          <w:szCs w:val="24"/>
        </w:rPr>
      </w:pPr>
      <w:r>
        <w:rPr>
          <w:rFonts w:eastAsiaTheme="minorHAnsi"/>
          <w:b w:val="0"/>
          <w:sz w:val="24"/>
          <w:szCs w:val="24"/>
        </w:rPr>
        <w:t>DIMENSÕES:</w:t>
      </w:r>
    </w:p>
    <w:p w14:paraId="4AB9DCE7">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Compartimento de carga com volume mínimo de 450 litros conforme ABNT (tolerância de 5%, para mais ou para menos);</w:t>
      </w:r>
    </w:p>
    <w:p w14:paraId="575C70DE">
      <w:pPr>
        <w:pStyle w:val="61"/>
        <w:tabs>
          <w:tab w:val="left" w:pos="363"/>
        </w:tabs>
        <w:ind w:right="327"/>
        <w:rPr>
          <w:rFonts w:eastAsiaTheme="minorHAnsi"/>
          <w:sz w:val="24"/>
          <w:szCs w:val="24"/>
        </w:rPr>
      </w:pPr>
    </w:p>
    <w:p w14:paraId="1062E485">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Capacidade mínima do tanque de 50 litros de combustível (tolerância de 5%, para mais ou para menos);</w:t>
      </w:r>
    </w:p>
    <w:p w14:paraId="3CE57D10">
      <w:pPr>
        <w:pStyle w:val="61"/>
        <w:tabs>
          <w:tab w:val="left" w:pos="363"/>
        </w:tabs>
        <w:ind w:right="327"/>
        <w:rPr>
          <w:rFonts w:eastAsiaTheme="minorHAnsi"/>
          <w:sz w:val="24"/>
          <w:szCs w:val="24"/>
        </w:rPr>
      </w:pPr>
    </w:p>
    <w:p w14:paraId="4AFB91DF">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Dimensões externas – comprimento mínimo: 4.610mm (tolerância de 1%, para mais ou para menos); distância entre-eixos mínima: 2.700mm (tolerância de 2%, para mais ou para menos); largura mínima: 1.780mm (tolerância de 2%, para mais ou para menos); altura mínima: 1.433mm (tolerância de 2%, para mais ou para menos);</w:t>
      </w:r>
    </w:p>
    <w:p w14:paraId="301807A8">
      <w:pPr>
        <w:pStyle w:val="61"/>
        <w:tabs>
          <w:tab w:val="left" w:pos="363"/>
        </w:tabs>
        <w:ind w:right="327"/>
        <w:rPr>
          <w:rFonts w:eastAsiaTheme="minorHAnsi"/>
          <w:sz w:val="24"/>
          <w:szCs w:val="24"/>
        </w:rPr>
      </w:pPr>
    </w:p>
    <w:p w14:paraId="24EA843C">
      <w:pPr>
        <w:tabs>
          <w:tab w:val="left" w:pos="363"/>
        </w:tabs>
        <w:ind w:right="327"/>
        <w:rPr>
          <w:rFonts w:eastAsiaTheme="minorHAnsi"/>
          <w:sz w:val="24"/>
          <w:szCs w:val="24"/>
        </w:rPr>
      </w:pPr>
      <w:r>
        <w:rPr>
          <w:rFonts w:eastAsiaTheme="minorHAnsi"/>
          <w:sz w:val="24"/>
          <w:szCs w:val="24"/>
        </w:rPr>
        <w:t>SISTEMA ELÉTRICO:</w:t>
      </w:r>
    </w:p>
    <w:p w14:paraId="53DFC138">
      <w:pPr>
        <w:pStyle w:val="61"/>
        <w:tabs>
          <w:tab w:val="left" w:pos="363"/>
        </w:tabs>
        <w:ind w:right="327"/>
        <w:rPr>
          <w:rFonts w:eastAsiaTheme="minorHAnsi"/>
          <w:sz w:val="24"/>
          <w:szCs w:val="24"/>
        </w:rPr>
      </w:pPr>
    </w:p>
    <w:p w14:paraId="4A046FDD">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A bateria deverá ser fixada em compartimento específico e deverá ser projetada para suportar possíveis vazamentos e vibrações externas.</w:t>
      </w:r>
    </w:p>
    <w:p w14:paraId="2744480E">
      <w:pPr>
        <w:pStyle w:val="61"/>
        <w:tabs>
          <w:tab w:val="left" w:pos="363"/>
        </w:tabs>
        <w:ind w:right="327"/>
        <w:rPr>
          <w:rFonts w:eastAsiaTheme="minorHAnsi"/>
          <w:sz w:val="24"/>
          <w:szCs w:val="24"/>
        </w:rPr>
      </w:pPr>
    </w:p>
    <w:p w14:paraId="018D019A">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Trava elétrica de fechamento e abertura de todas as portas através de controle remoto;</w:t>
      </w:r>
    </w:p>
    <w:p w14:paraId="1983337C">
      <w:pPr>
        <w:pStyle w:val="61"/>
        <w:tabs>
          <w:tab w:val="left" w:pos="363"/>
        </w:tabs>
        <w:ind w:right="327"/>
        <w:rPr>
          <w:rFonts w:eastAsiaTheme="minorHAnsi"/>
          <w:sz w:val="24"/>
          <w:szCs w:val="24"/>
        </w:rPr>
      </w:pPr>
    </w:p>
    <w:p w14:paraId="595ADAE9">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As quatro portas devem ser abertas pelo lado de dentro com um único movimento da alavanca de abertura, mesmo que isso signifique que as portas não travem automaticamente.</w:t>
      </w:r>
    </w:p>
    <w:p w14:paraId="0D8D1133">
      <w:pPr>
        <w:pStyle w:val="61"/>
        <w:tabs>
          <w:tab w:val="left" w:pos="363"/>
        </w:tabs>
        <w:ind w:right="327"/>
        <w:rPr>
          <w:rFonts w:eastAsiaTheme="minorHAnsi"/>
          <w:sz w:val="24"/>
          <w:szCs w:val="24"/>
        </w:rPr>
      </w:pPr>
    </w:p>
    <w:p w14:paraId="77D98693">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É necessário que os faróis sejam desligados manualmente quando desejado com o veículo ligado.</w:t>
      </w:r>
    </w:p>
    <w:p w14:paraId="6F0CA651">
      <w:pPr>
        <w:pStyle w:val="61"/>
        <w:tabs>
          <w:tab w:val="left" w:pos="363"/>
        </w:tabs>
        <w:ind w:right="327"/>
        <w:rPr>
          <w:rFonts w:eastAsiaTheme="minorHAnsi"/>
          <w:sz w:val="24"/>
          <w:szCs w:val="24"/>
        </w:rPr>
      </w:pPr>
    </w:p>
    <w:p w14:paraId="53556770">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Sempre que houver faróis auxiliares, estes devem desligar-se quando a ignição do veículo for desligada;</w:t>
      </w:r>
    </w:p>
    <w:p w14:paraId="0E6E10D4">
      <w:pPr>
        <w:pStyle w:val="61"/>
        <w:tabs>
          <w:tab w:val="left" w:pos="363"/>
        </w:tabs>
        <w:ind w:right="327"/>
        <w:rPr>
          <w:rFonts w:eastAsiaTheme="minorHAnsi"/>
          <w:sz w:val="24"/>
          <w:szCs w:val="24"/>
        </w:rPr>
      </w:pPr>
    </w:p>
    <w:p w14:paraId="2F884007">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Iluminação interna da cabine com opção de controle independente na luminária, de modo a impedir ou permitir o acendimento automático quando da abertura das portas;</w:t>
      </w:r>
    </w:p>
    <w:p w14:paraId="190D0A10">
      <w:pPr>
        <w:pStyle w:val="61"/>
        <w:rPr>
          <w:rFonts w:eastAsiaTheme="minorHAnsi"/>
          <w:sz w:val="24"/>
          <w:szCs w:val="24"/>
        </w:rPr>
      </w:pPr>
    </w:p>
    <w:p w14:paraId="42441160">
      <w:pPr>
        <w:tabs>
          <w:tab w:val="left" w:pos="363"/>
        </w:tabs>
        <w:ind w:right="327"/>
        <w:rPr>
          <w:rFonts w:eastAsiaTheme="minorHAnsi"/>
          <w:sz w:val="24"/>
          <w:szCs w:val="24"/>
        </w:rPr>
      </w:pPr>
    </w:p>
    <w:p w14:paraId="485B6AEA">
      <w:pPr>
        <w:tabs>
          <w:tab w:val="left" w:pos="363"/>
        </w:tabs>
        <w:ind w:right="327"/>
        <w:rPr>
          <w:rFonts w:eastAsiaTheme="minorHAnsi"/>
          <w:sz w:val="24"/>
          <w:szCs w:val="24"/>
        </w:rPr>
      </w:pPr>
      <w:r>
        <w:rPr>
          <w:rFonts w:eastAsiaTheme="minorHAnsi"/>
          <w:sz w:val="24"/>
          <w:szCs w:val="24"/>
        </w:rPr>
        <w:t>REVESTIMENTO INTERNO:</w:t>
      </w:r>
    </w:p>
    <w:p w14:paraId="76216115">
      <w:pPr>
        <w:pStyle w:val="61"/>
        <w:tabs>
          <w:tab w:val="left" w:pos="363"/>
        </w:tabs>
        <w:ind w:right="327"/>
        <w:rPr>
          <w:rFonts w:eastAsiaTheme="minorHAnsi"/>
          <w:sz w:val="24"/>
          <w:szCs w:val="24"/>
        </w:rPr>
      </w:pPr>
    </w:p>
    <w:p w14:paraId="799646CE">
      <w:pPr>
        <w:pStyle w:val="61"/>
        <w:widowControl w:val="0"/>
        <w:numPr>
          <w:ilvl w:val="0"/>
          <w:numId w:val="17"/>
        </w:numPr>
        <w:tabs>
          <w:tab w:val="left" w:pos="363"/>
        </w:tabs>
        <w:autoSpaceDE w:val="0"/>
        <w:autoSpaceDN w:val="0"/>
        <w:ind w:right="327" w:firstLine="0"/>
        <w:contextualSpacing w:val="0"/>
        <w:jc w:val="both"/>
        <w:rPr>
          <w:rFonts w:eastAsiaTheme="minorHAnsi"/>
          <w:sz w:val="24"/>
          <w:szCs w:val="24"/>
        </w:rPr>
      </w:pPr>
      <w:r>
        <w:rPr>
          <w:rFonts w:eastAsiaTheme="minorHAnsi"/>
          <w:sz w:val="24"/>
          <w:szCs w:val="24"/>
        </w:rPr>
        <w:t>Piso (motorista e passageiros) revestido em material resistente, antiderrapante, não absorvente e lavável, na cor preta, além de tapetes de borracha ou polivinil carbono (PVC) nos locais destinados aos ocupantes para apoiarem os pés, inclusive o motorista, com dispositivo, velcro/botão ou outra forma de fixar o tapete ao piso, evitando-se sua movimentação;</w:t>
      </w:r>
    </w:p>
    <w:p w14:paraId="1527477F">
      <w:pPr>
        <w:pStyle w:val="61"/>
        <w:tabs>
          <w:tab w:val="left" w:pos="363"/>
        </w:tabs>
        <w:ind w:right="327"/>
        <w:rPr>
          <w:rFonts w:eastAsiaTheme="minorHAnsi"/>
          <w:sz w:val="24"/>
          <w:szCs w:val="24"/>
        </w:rPr>
      </w:pPr>
    </w:p>
    <w:p w14:paraId="1EEE93F4">
      <w:pPr>
        <w:tabs>
          <w:tab w:val="left" w:pos="363"/>
        </w:tabs>
        <w:spacing w:before="2" w:line="237" w:lineRule="auto"/>
        <w:ind w:right="338"/>
        <w:rPr>
          <w:rFonts w:eastAsiaTheme="minorHAnsi"/>
          <w:sz w:val="24"/>
          <w:szCs w:val="24"/>
        </w:rPr>
      </w:pPr>
      <w:r>
        <w:rPr>
          <w:rFonts w:eastAsiaTheme="minorHAnsi"/>
          <w:sz w:val="24"/>
          <w:szCs w:val="24"/>
        </w:rPr>
        <w:t>DIVERSOS:</w:t>
      </w:r>
    </w:p>
    <w:p w14:paraId="41AEAFB0">
      <w:pPr>
        <w:pStyle w:val="61"/>
        <w:tabs>
          <w:tab w:val="left" w:pos="363"/>
        </w:tabs>
        <w:spacing w:before="2" w:line="237" w:lineRule="auto"/>
        <w:ind w:right="338"/>
        <w:rPr>
          <w:rFonts w:eastAsiaTheme="minorHAnsi"/>
          <w:sz w:val="24"/>
          <w:szCs w:val="24"/>
        </w:rPr>
      </w:pPr>
    </w:p>
    <w:p w14:paraId="6596C7AE">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Sensor de estacionamento na parte traseira do veículo, com identificação de obstáculos próximos ao veículo, que emita aviso sonoro ao motorista quando em marcha à ré, resistente a interferências de ruídos eletromagnéticos;</w:t>
      </w:r>
    </w:p>
    <w:p w14:paraId="647748C2">
      <w:pPr>
        <w:pStyle w:val="61"/>
        <w:tabs>
          <w:tab w:val="left" w:pos="363"/>
        </w:tabs>
        <w:spacing w:before="2" w:line="237" w:lineRule="auto"/>
        <w:ind w:right="338"/>
        <w:rPr>
          <w:rFonts w:eastAsiaTheme="minorHAnsi"/>
          <w:sz w:val="24"/>
          <w:szCs w:val="24"/>
        </w:rPr>
      </w:pPr>
    </w:p>
    <w:p w14:paraId="4F2F1F8E">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Película de segurança e controle solar, em todos os vidros do veículo (preta ou fumê), inclusive para- brisas (incolor). A película deverá rejeitar, no mínimo, 90% da radiação UV e observar a graduação máxima permitida pela Resolução 254/2007-CONTRAN. As películas devem ser fornecidas, inclusive, com a chancela indelével obrigatória. Não serão aceitos adesivos em sua substituição.</w:t>
      </w:r>
    </w:p>
    <w:p w14:paraId="5DDA65B2">
      <w:pPr>
        <w:pStyle w:val="61"/>
        <w:tabs>
          <w:tab w:val="left" w:pos="363"/>
        </w:tabs>
        <w:spacing w:before="2" w:line="237" w:lineRule="auto"/>
        <w:ind w:right="338"/>
        <w:rPr>
          <w:rFonts w:eastAsiaTheme="minorHAnsi"/>
          <w:sz w:val="24"/>
          <w:szCs w:val="24"/>
        </w:rPr>
      </w:pPr>
    </w:p>
    <w:p w14:paraId="1E7C5913">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Tampa de combustível contendo indicação clara sobre o tipo de combustível utilizado para evitar o abastecimento errado do veículo;</w:t>
      </w:r>
    </w:p>
    <w:p w14:paraId="2371E799">
      <w:pPr>
        <w:pStyle w:val="61"/>
        <w:tabs>
          <w:tab w:val="left" w:pos="363"/>
        </w:tabs>
        <w:spacing w:before="2" w:line="237" w:lineRule="auto"/>
        <w:ind w:right="338"/>
        <w:rPr>
          <w:rFonts w:eastAsiaTheme="minorHAnsi"/>
          <w:sz w:val="24"/>
          <w:szCs w:val="24"/>
        </w:rPr>
      </w:pPr>
    </w:p>
    <w:p w14:paraId="63CEAD2D">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Equipamento de som com as características mínimas: Sintonia de estações de rádio AM e FM e conectividade através de tecnologia Bluetooth para reprodução de mídias e chamadas telefônicas. No mínimo 4 alto-falantes distribuídos no veículo.</w:t>
      </w:r>
    </w:p>
    <w:p w14:paraId="0AD673F6">
      <w:pPr>
        <w:pStyle w:val="61"/>
        <w:tabs>
          <w:tab w:val="left" w:pos="363"/>
        </w:tabs>
        <w:spacing w:before="2" w:line="237" w:lineRule="auto"/>
        <w:ind w:right="338"/>
        <w:rPr>
          <w:rFonts w:eastAsiaTheme="minorHAnsi"/>
          <w:sz w:val="24"/>
          <w:szCs w:val="24"/>
        </w:rPr>
      </w:pPr>
    </w:p>
    <w:p w14:paraId="602B6B53">
      <w:pPr>
        <w:tabs>
          <w:tab w:val="left" w:pos="363"/>
        </w:tabs>
        <w:spacing w:before="2" w:line="237" w:lineRule="auto"/>
        <w:ind w:right="338"/>
        <w:rPr>
          <w:rFonts w:eastAsiaTheme="minorHAnsi"/>
          <w:sz w:val="24"/>
          <w:szCs w:val="24"/>
        </w:rPr>
      </w:pPr>
      <w:r>
        <w:rPr>
          <w:rFonts w:eastAsiaTheme="minorHAnsi"/>
          <w:sz w:val="24"/>
          <w:szCs w:val="24"/>
        </w:rPr>
        <w:t>O VEÍCULO DEVERÁ:</w:t>
      </w:r>
    </w:p>
    <w:p w14:paraId="7CC12983">
      <w:pPr>
        <w:pStyle w:val="61"/>
        <w:tabs>
          <w:tab w:val="left" w:pos="363"/>
        </w:tabs>
        <w:spacing w:before="2" w:line="237" w:lineRule="auto"/>
        <w:ind w:right="338"/>
        <w:rPr>
          <w:rFonts w:eastAsiaTheme="minorHAnsi"/>
          <w:sz w:val="24"/>
          <w:szCs w:val="24"/>
        </w:rPr>
      </w:pPr>
    </w:p>
    <w:p w14:paraId="1962890B">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ser equipado com os itens de segurança exigidos por lei;</w:t>
      </w:r>
    </w:p>
    <w:p w14:paraId="7430279C">
      <w:pPr>
        <w:pStyle w:val="61"/>
        <w:tabs>
          <w:tab w:val="left" w:pos="363"/>
        </w:tabs>
        <w:spacing w:before="2" w:line="237" w:lineRule="auto"/>
        <w:ind w:right="338"/>
        <w:rPr>
          <w:rFonts w:eastAsiaTheme="minorHAnsi"/>
          <w:sz w:val="24"/>
          <w:szCs w:val="24"/>
        </w:rPr>
      </w:pPr>
    </w:p>
    <w:p w14:paraId="766C89D9">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estar de acordo com as normas técnicas da ABNT, bem como as homologadas pelo PROCON/IBAMA;</w:t>
      </w:r>
    </w:p>
    <w:p w14:paraId="3CF1458A">
      <w:pPr>
        <w:pStyle w:val="61"/>
        <w:tabs>
          <w:tab w:val="left" w:pos="363"/>
        </w:tabs>
        <w:spacing w:before="2" w:line="237" w:lineRule="auto"/>
        <w:ind w:right="338"/>
        <w:rPr>
          <w:rFonts w:eastAsiaTheme="minorHAnsi"/>
          <w:sz w:val="24"/>
          <w:szCs w:val="24"/>
        </w:rPr>
      </w:pPr>
    </w:p>
    <w:p w14:paraId="0F0594C7">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atender aos limites máximos de ruídos fixados nas Resoluções CONAMA nº 1, de 11/02/1993, e nº 272, de 14/09/2000 e legislação correlata;</w:t>
      </w:r>
    </w:p>
    <w:p w14:paraId="6429615F">
      <w:pPr>
        <w:pStyle w:val="61"/>
        <w:tabs>
          <w:tab w:val="left" w:pos="363"/>
        </w:tabs>
        <w:spacing w:before="2" w:line="237" w:lineRule="auto"/>
        <w:ind w:right="338"/>
        <w:rPr>
          <w:rFonts w:eastAsiaTheme="minorHAnsi"/>
          <w:sz w:val="24"/>
          <w:szCs w:val="24"/>
        </w:rPr>
      </w:pPr>
    </w:p>
    <w:p w14:paraId="22895381">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atender aos limites máximos de emissão de poluentes que estejam em conformidade com Programa de Controle da poluição do Ar por Veículos Automotores – PROCONVE P7, conforme Resolução CONAMA nº 18, de 06/05/1986 e nº 315, de 29/10/2002, e legislação correlata, preferencialmente dotados de tecnologia que faculte a diminuição da emissão de gases e/ou substâncias poluentes.</w:t>
      </w:r>
    </w:p>
    <w:p w14:paraId="0955351D">
      <w:pPr>
        <w:pStyle w:val="61"/>
        <w:tabs>
          <w:tab w:val="left" w:pos="363"/>
        </w:tabs>
        <w:spacing w:before="2" w:line="237" w:lineRule="auto"/>
        <w:ind w:right="338"/>
        <w:rPr>
          <w:rFonts w:eastAsiaTheme="minorHAnsi"/>
          <w:sz w:val="24"/>
          <w:szCs w:val="24"/>
        </w:rPr>
      </w:pPr>
    </w:p>
    <w:p w14:paraId="24E34452">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A Administração exige que os serviços de manutenção e assistência técnica sejam prestados mediante deslocamento de técnico ou disponibilizados em unidade de prestação de serviços localizada em distância compatível com suas necessidades. (</w:t>
      </w:r>
      <w:r>
        <w:fldChar w:fldCharType="begin"/>
      </w:r>
      <w:r>
        <w:instrText xml:space="preserve"> HYPERLINK "http://www.planalto.gov.br/ccivil_03/_ato2019-2022/2021/lei/L14133.htm" \h </w:instrText>
      </w:r>
      <w:r>
        <w:fldChar w:fldCharType="separate"/>
      </w:r>
      <w:r>
        <w:rPr>
          <w:rFonts w:eastAsiaTheme="minorHAnsi"/>
          <w:sz w:val="24"/>
          <w:szCs w:val="24"/>
        </w:rPr>
        <w:t>Art. 40, §4º, Lei nº 14.133, de 2021</w:t>
      </w:r>
      <w:r>
        <w:rPr>
          <w:rFonts w:eastAsiaTheme="minorHAnsi"/>
          <w:sz w:val="24"/>
          <w:szCs w:val="24"/>
        </w:rPr>
        <w:fldChar w:fldCharType="end"/>
      </w:r>
      <w:r>
        <w:rPr>
          <w:rFonts w:eastAsiaTheme="minorHAnsi"/>
          <w:sz w:val="24"/>
          <w:szCs w:val="24"/>
        </w:rPr>
        <w:t xml:space="preserve">, e </w:t>
      </w:r>
      <w:r>
        <w:fldChar w:fldCharType="begin"/>
      </w:r>
      <w:r>
        <w:instrText xml:space="preserve"> HYPERLINK "https://www.in.gov.br/en/web/dou/-/instrucao-normativa-seges-n-58-de-8-de-agosto-de-2022-421221597%23" \h </w:instrText>
      </w:r>
      <w:r>
        <w:fldChar w:fldCharType="separate"/>
      </w:r>
      <w:r>
        <w:rPr>
          <w:rFonts w:eastAsiaTheme="minorHAnsi"/>
          <w:sz w:val="24"/>
          <w:szCs w:val="24"/>
        </w:rPr>
        <w:t>art. 10, inciso II,</w:t>
      </w:r>
      <w:r>
        <w:rPr>
          <w:rFonts w:eastAsiaTheme="minorHAnsi"/>
          <w:sz w:val="24"/>
          <w:szCs w:val="24"/>
        </w:rPr>
        <w:fldChar w:fldCharType="end"/>
      </w:r>
      <w:r>
        <w:rPr>
          <w:rFonts w:eastAsiaTheme="minorHAnsi"/>
          <w:sz w:val="24"/>
          <w:szCs w:val="24"/>
        </w:rPr>
        <w:t xml:space="preserve"> </w:t>
      </w:r>
      <w:r>
        <w:fldChar w:fldCharType="begin"/>
      </w:r>
      <w:r>
        <w:instrText xml:space="preserve"> HYPERLINK "https://www.in.gov.br/en/web/dou/-/instrucao-normativa-seges-n-58-de-8-de-agosto-de-2022-421221597%23" \h </w:instrText>
      </w:r>
      <w:r>
        <w:fldChar w:fldCharType="separate"/>
      </w:r>
      <w:r>
        <w:rPr>
          <w:rFonts w:eastAsiaTheme="minorHAnsi"/>
          <w:sz w:val="24"/>
          <w:szCs w:val="24"/>
        </w:rPr>
        <w:t>da Instrução Normativa SEGES/ME nº 58, de 2022</w:t>
      </w:r>
      <w:r>
        <w:rPr>
          <w:rFonts w:eastAsiaTheme="minorHAnsi"/>
          <w:sz w:val="24"/>
          <w:szCs w:val="24"/>
        </w:rPr>
        <w:fldChar w:fldCharType="end"/>
      </w:r>
      <w:r>
        <w:rPr>
          <w:rFonts w:eastAsiaTheme="minorHAnsi"/>
          <w:sz w:val="24"/>
          <w:szCs w:val="24"/>
        </w:rPr>
        <w:t>.</w:t>
      </w:r>
    </w:p>
    <w:p w14:paraId="41ACBD23">
      <w:pPr>
        <w:tabs>
          <w:tab w:val="left" w:pos="363"/>
        </w:tabs>
        <w:spacing w:before="2" w:line="237" w:lineRule="auto"/>
        <w:ind w:right="338"/>
        <w:rPr>
          <w:rFonts w:eastAsiaTheme="minorHAnsi"/>
          <w:sz w:val="24"/>
          <w:szCs w:val="24"/>
        </w:rPr>
      </w:pPr>
    </w:p>
    <w:p w14:paraId="1AE0CC59">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6. A QUALIDADE DOS PRODUTOS E DOS SERVIÇOS QUE INTEGRAM A SOLUÇÃO</w:t>
      </w:r>
    </w:p>
    <w:p w14:paraId="3D0C23A3">
      <w:pPr>
        <w:pStyle w:val="61"/>
        <w:tabs>
          <w:tab w:val="left" w:pos="363"/>
        </w:tabs>
        <w:spacing w:before="2" w:line="237" w:lineRule="auto"/>
        <w:ind w:right="338"/>
        <w:rPr>
          <w:rFonts w:eastAsiaTheme="minorHAnsi"/>
          <w:sz w:val="24"/>
          <w:szCs w:val="24"/>
        </w:rPr>
      </w:pPr>
    </w:p>
    <w:p w14:paraId="15BFEBA0">
      <w:pPr>
        <w:pStyle w:val="61"/>
        <w:tabs>
          <w:tab w:val="left" w:pos="363"/>
        </w:tabs>
        <w:spacing w:before="2" w:line="237" w:lineRule="auto"/>
        <w:ind w:right="338"/>
        <w:rPr>
          <w:rFonts w:eastAsiaTheme="minorHAnsi"/>
          <w:sz w:val="24"/>
          <w:szCs w:val="24"/>
        </w:rPr>
      </w:pPr>
      <w:r>
        <w:rPr>
          <w:rFonts w:eastAsiaTheme="minorHAnsi"/>
          <w:b/>
          <w:bCs/>
          <w:sz w:val="24"/>
          <w:szCs w:val="24"/>
        </w:rPr>
        <w:t>6.1-</w:t>
      </w:r>
      <w:r>
        <w:rPr>
          <w:rFonts w:eastAsiaTheme="minorHAnsi"/>
          <w:sz w:val="24"/>
          <w:szCs w:val="24"/>
        </w:rPr>
        <w:t xml:space="preserve"> O padrão de qualidade do objeto pretendido pelo Poder Público perfaz elemento essencial nas contratações, o que implica numa análise ampliada sobre a eficiência do negócio e o alcance da finalidade almejada, mormente perante a avaliação da viabilidade do parcelamento (ou não), ante a perda de economia da escala (art. 40, § 3º, I e II, Lei nº 14.133/2021).</w:t>
      </w:r>
    </w:p>
    <w:p w14:paraId="7EBF1092">
      <w:pPr>
        <w:pStyle w:val="61"/>
        <w:tabs>
          <w:tab w:val="left" w:pos="363"/>
        </w:tabs>
        <w:spacing w:before="2" w:line="237" w:lineRule="auto"/>
        <w:ind w:right="338"/>
        <w:rPr>
          <w:rFonts w:eastAsiaTheme="minorHAnsi"/>
          <w:sz w:val="24"/>
          <w:szCs w:val="24"/>
        </w:rPr>
      </w:pPr>
    </w:p>
    <w:p w14:paraId="02EB9AC4">
      <w:pPr>
        <w:pStyle w:val="61"/>
        <w:tabs>
          <w:tab w:val="left" w:pos="363"/>
        </w:tabs>
        <w:spacing w:before="2" w:line="237" w:lineRule="auto"/>
        <w:ind w:right="338"/>
        <w:rPr>
          <w:rFonts w:eastAsiaTheme="minorHAnsi"/>
          <w:sz w:val="24"/>
          <w:szCs w:val="24"/>
        </w:rPr>
      </w:pPr>
      <w:r>
        <w:rPr>
          <w:rFonts w:eastAsiaTheme="minorHAnsi"/>
          <w:b/>
          <w:bCs/>
          <w:sz w:val="24"/>
          <w:szCs w:val="24"/>
        </w:rPr>
        <w:t>6.2-</w:t>
      </w:r>
      <w:r>
        <w:rPr>
          <w:rFonts w:eastAsiaTheme="minorHAnsi"/>
          <w:sz w:val="24"/>
          <w:szCs w:val="24"/>
        </w:rPr>
        <w:t xml:space="preserve"> Diante da necessidade de aquisição de veículo automotor terrestre 0km, buscou-se utilizar a centralização de aquisição de equipamento de mesma natureza, com especificações e características.</w:t>
      </w:r>
    </w:p>
    <w:p w14:paraId="239D1012">
      <w:pPr>
        <w:pStyle w:val="61"/>
        <w:tabs>
          <w:tab w:val="left" w:pos="363"/>
        </w:tabs>
        <w:spacing w:before="2" w:line="237" w:lineRule="auto"/>
        <w:ind w:right="338"/>
        <w:rPr>
          <w:rFonts w:eastAsiaTheme="minorHAnsi"/>
          <w:sz w:val="24"/>
          <w:szCs w:val="24"/>
        </w:rPr>
      </w:pPr>
    </w:p>
    <w:p w14:paraId="5B7E453A">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já experimentadas e aprovadas para demandas do setor, inclusive com intuito de afastar os materiais de qualidade inferior. Tal procedimento revela-se vantajoso e eficiente, gerando economicidade, redução da inatividade do veículo e agilidade na execução do serviço público. As ordens de fornecimentos periódicas contribuem para ganho de escala, tornando assim a aquisição mais atrativa para o mercado, despertando, maior interesse dos fornecedores. O material a ser adquirido enquadra- se como bem comum por possuir padrões de desempenho e características gerais e específicas, usualmente encontradas no mercado, podendo, portanto, ser licitado por meio da modalidade Pregão Eletrônico. Assim, a aquisição mostra-se viável na modalidade de licitação por Pregão eletrônico e julgamento por Menor Preço.</w:t>
      </w:r>
    </w:p>
    <w:p w14:paraId="1632A5E1">
      <w:pPr>
        <w:pStyle w:val="61"/>
        <w:tabs>
          <w:tab w:val="left" w:pos="363"/>
        </w:tabs>
        <w:spacing w:before="2" w:line="237" w:lineRule="auto"/>
        <w:ind w:right="338"/>
        <w:rPr>
          <w:rFonts w:eastAsiaTheme="minorHAnsi"/>
          <w:sz w:val="24"/>
          <w:szCs w:val="24"/>
        </w:rPr>
      </w:pPr>
    </w:p>
    <w:p w14:paraId="30125A1E">
      <w:pPr>
        <w:pStyle w:val="61"/>
        <w:tabs>
          <w:tab w:val="left" w:pos="363"/>
        </w:tabs>
        <w:spacing w:before="2" w:line="237" w:lineRule="auto"/>
        <w:ind w:right="338"/>
        <w:rPr>
          <w:rFonts w:eastAsiaTheme="minorHAnsi"/>
          <w:sz w:val="24"/>
          <w:szCs w:val="24"/>
        </w:rPr>
      </w:pPr>
      <w:r>
        <w:rPr>
          <w:rFonts w:eastAsiaTheme="minorHAnsi"/>
          <w:b/>
          <w:bCs/>
          <w:sz w:val="24"/>
          <w:szCs w:val="24"/>
        </w:rPr>
        <mc:AlternateContent>
          <mc:Choice Requires="wps">
            <w:drawing>
              <wp:anchor distT="0" distB="0" distL="0" distR="0" simplePos="0" relativeHeight="251664384" behindDoc="1" locked="0" layoutInCell="1" allowOverlap="1">
                <wp:simplePos x="0" y="0"/>
                <wp:positionH relativeFrom="page">
                  <wp:posOffset>1743710</wp:posOffset>
                </wp:positionH>
                <wp:positionV relativeFrom="paragraph">
                  <wp:posOffset>520065</wp:posOffset>
                </wp:positionV>
                <wp:extent cx="1537970" cy="180340"/>
                <wp:effectExtent l="0" t="0" r="0" b="0"/>
                <wp:wrapNone/>
                <wp:docPr id="17" name="Forma Livre: Forma 9"/>
                <wp:cNvGraphicFramePr/>
                <a:graphic xmlns:a="http://schemas.openxmlformats.org/drawingml/2006/main">
                  <a:graphicData uri="http://schemas.microsoft.com/office/word/2010/wordprocessingShape">
                    <wps:wsp>
                      <wps:cNvSpPr/>
                      <wps:spPr>
                        <a:xfrm>
                          <a:off x="0" y="0"/>
                          <a:ext cx="1537970" cy="180340"/>
                        </a:xfrm>
                        <a:custGeom>
                          <a:avLst/>
                          <a:gdLst/>
                          <a:ahLst/>
                          <a:cxnLst/>
                          <a:rect l="l" t="t" r="r" b="b"/>
                          <a:pathLst>
                            <a:path w="1537970" h="180340">
                              <a:moveTo>
                                <a:pt x="1537969" y="0"/>
                              </a:moveTo>
                              <a:lnTo>
                                <a:pt x="0" y="0"/>
                              </a:lnTo>
                              <a:lnTo>
                                <a:pt x="0" y="179831"/>
                              </a:lnTo>
                              <a:lnTo>
                                <a:pt x="1537969" y="179831"/>
                              </a:lnTo>
                              <a:lnTo>
                                <a:pt x="1537969" y="0"/>
                              </a:lnTo>
                              <a:close/>
                            </a:path>
                          </a:pathLst>
                        </a:custGeom>
                        <a:solidFill>
                          <a:srgbClr val="FFFFFF"/>
                        </a:solidFill>
                      </wps:spPr>
                      <wps:bodyPr wrap="square" lIns="0" tIns="0" rIns="0" bIns="0" rtlCol="0">
                        <a:noAutofit/>
                      </wps:bodyPr>
                    </wps:wsp>
                  </a:graphicData>
                </a:graphic>
              </wp:anchor>
            </w:drawing>
          </mc:Choice>
          <mc:Fallback>
            <w:pict>
              <v:shape id="Forma Livre: Forma 9" o:spid="_x0000_s1026" o:spt="100" style="position:absolute;left:0pt;margin-left:137.3pt;margin-top:40.95pt;height:14.2pt;width:121.1pt;mso-position-horizontal-relative:page;z-index:-251652096;mso-width-relative:page;mso-height-relative:page;" fillcolor="#FFFFFF" filled="t" stroked="f" coordsize="1537970,180340" o:gfxdata="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DnFq11gAAAAoBAAAPAAAAAAAAAAEAIAAAACIAAABkcnMvZG93bnJldi54bWxQSwECFAAU&#10;AAAACACHTuJA/vtaSiwCAADwBAAADgAAAAAAAAABACAAAAAlAQAAZHJzL2Uyb0RvYy54bWxQSwUG&#10;AAAAAAYABgBZAQAAwwUAAAAA&#10;" path="m1537969,0l0,0,0,179831,1537969,179831,1537969,0xe">
                <v:fill on="t" focussize="0,0"/>
                <v:stroke on="f"/>
                <v:imagedata o:title=""/>
                <o:lock v:ext="edit" aspectratio="f"/>
                <v:textbox inset="0mm,0mm,0mm,0mm"/>
              </v:shape>
            </w:pict>
          </mc:Fallback>
        </mc:AlternateContent>
      </w:r>
      <w:r>
        <w:rPr>
          <w:rFonts w:eastAsiaTheme="minorHAnsi"/>
          <w:b/>
          <w:bCs/>
          <w:sz w:val="24"/>
          <w:szCs w:val="24"/>
        </w:rPr>
        <w:t>6.3-</w:t>
      </w:r>
      <w:r>
        <w:rPr>
          <w:rFonts w:eastAsiaTheme="minorHAnsi"/>
          <w:sz w:val="24"/>
          <w:szCs w:val="24"/>
        </w:rPr>
        <w:t xml:space="preserve"> A essencialidade da aquisição de veículo automotor terrestre 0km, fundamenta-se nos danos e prejuízos que podem ser causados à Administração Pública no caso de eventual paralisação ou interrupção fornecimento dos materiais, e, nesse sentido, a presente aquisição visa assegurar e manter o funcionamento de atividades finalísticas dos entes administrativos.</w:t>
      </w:r>
    </w:p>
    <w:p w14:paraId="4B17FF46">
      <w:pPr>
        <w:pStyle w:val="61"/>
        <w:tabs>
          <w:tab w:val="left" w:pos="363"/>
        </w:tabs>
        <w:spacing w:before="2" w:line="237" w:lineRule="auto"/>
        <w:ind w:right="338"/>
        <w:rPr>
          <w:rFonts w:eastAsiaTheme="minorHAnsi"/>
          <w:sz w:val="24"/>
          <w:szCs w:val="24"/>
        </w:rPr>
      </w:pPr>
    </w:p>
    <w:p w14:paraId="72A8FA1E">
      <w:pPr>
        <w:pStyle w:val="61"/>
        <w:tabs>
          <w:tab w:val="left" w:pos="363"/>
        </w:tabs>
        <w:spacing w:before="2" w:line="237" w:lineRule="auto"/>
        <w:ind w:right="338"/>
        <w:rPr>
          <w:rFonts w:eastAsiaTheme="minorHAnsi"/>
          <w:sz w:val="24"/>
          <w:szCs w:val="24"/>
        </w:rPr>
      </w:pPr>
      <w:r>
        <w:rPr>
          <w:rFonts w:eastAsiaTheme="minorHAnsi"/>
          <w:b/>
          <w:bCs/>
          <w:sz w:val="24"/>
          <w:szCs w:val="24"/>
        </w:rPr>
        <w:t>6.4-</w:t>
      </w:r>
      <w:r>
        <w:rPr>
          <w:rFonts w:eastAsiaTheme="minorHAnsi"/>
          <w:sz w:val="24"/>
          <w:szCs w:val="24"/>
        </w:rPr>
        <w:t xml:space="preserve"> Logo, pode-se verificar também características de habitualidade, face necessidade constante e permanente dos materiais que objetiva contratar.</w:t>
      </w:r>
    </w:p>
    <w:p w14:paraId="57903AFF">
      <w:pPr>
        <w:pStyle w:val="61"/>
        <w:tabs>
          <w:tab w:val="left" w:pos="363"/>
        </w:tabs>
        <w:spacing w:before="2" w:line="237" w:lineRule="auto"/>
        <w:ind w:right="338"/>
        <w:rPr>
          <w:rFonts w:eastAsiaTheme="minorHAnsi"/>
          <w:sz w:val="24"/>
          <w:szCs w:val="24"/>
        </w:rPr>
      </w:pPr>
    </w:p>
    <w:p w14:paraId="53342A44">
      <w:pPr>
        <w:pStyle w:val="61"/>
        <w:tabs>
          <w:tab w:val="left" w:pos="363"/>
        </w:tabs>
        <w:spacing w:before="2" w:line="237" w:lineRule="auto"/>
        <w:ind w:right="338"/>
        <w:rPr>
          <w:rFonts w:eastAsiaTheme="minorHAnsi"/>
          <w:sz w:val="24"/>
          <w:szCs w:val="24"/>
        </w:rPr>
      </w:pPr>
      <w:r>
        <w:rPr>
          <w:rFonts w:eastAsiaTheme="minorHAnsi"/>
          <w:b/>
          <w:bCs/>
          <w:sz w:val="24"/>
          <w:szCs w:val="24"/>
        </w:rPr>
        <w:t>6.5-</w:t>
      </w:r>
      <w:r>
        <w:rPr>
          <w:rFonts w:eastAsiaTheme="minorHAnsi"/>
          <w:sz w:val="24"/>
          <w:szCs w:val="24"/>
        </w:rPr>
        <w:t xml:space="preserve"> Destaca-se, portanto, presentes os requisitos da essencialidade e habitualidade.</w:t>
      </w:r>
    </w:p>
    <w:p w14:paraId="1346668C">
      <w:pPr>
        <w:pStyle w:val="61"/>
        <w:tabs>
          <w:tab w:val="left" w:pos="363"/>
        </w:tabs>
        <w:spacing w:before="2" w:line="237" w:lineRule="auto"/>
        <w:ind w:right="338"/>
        <w:rPr>
          <w:rFonts w:eastAsiaTheme="minorHAnsi"/>
          <w:sz w:val="24"/>
          <w:szCs w:val="24"/>
        </w:rPr>
      </w:pPr>
    </w:p>
    <w:p w14:paraId="0ED8B54C">
      <w:pPr>
        <w:pStyle w:val="61"/>
        <w:tabs>
          <w:tab w:val="left" w:pos="363"/>
        </w:tabs>
        <w:spacing w:before="2" w:line="237" w:lineRule="auto"/>
        <w:ind w:right="338"/>
        <w:rPr>
          <w:rFonts w:eastAsiaTheme="minorHAnsi"/>
          <w:sz w:val="24"/>
          <w:szCs w:val="24"/>
        </w:rPr>
      </w:pPr>
      <w:r>
        <w:rPr>
          <w:rFonts w:eastAsiaTheme="minorHAnsi"/>
          <w:b/>
          <w:bCs/>
          <w:sz w:val="24"/>
          <w:szCs w:val="24"/>
        </w:rPr>
        <w:t>6.6-</w:t>
      </w:r>
      <w:r>
        <w:rPr>
          <w:rFonts w:eastAsiaTheme="minorHAnsi"/>
          <w:sz w:val="24"/>
          <w:szCs w:val="24"/>
        </w:rPr>
        <w:t xml:space="preserve"> A compreensão sobre a previsão de condições para assegurar o padrão da qualidade do objeto alcançará não só a escolha da modalidade de contrato, mas as especificações de cada item, prazo de fornecimento e obrigações.</w:t>
      </w:r>
    </w:p>
    <w:p w14:paraId="2AAFCD13">
      <w:pPr>
        <w:pStyle w:val="61"/>
        <w:tabs>
          <w:tab w:val="left" w:pos="363"/>
        </w:tabs>
        <w:spacing w:before="2" w:line="237" w:lineRule="auto"/>
        <w:ind w:right="338"/>
        <w:rPr>
          <w:rFonts w:eastAsiaTheme="minorHAnsi"/>
          <w:sz w:val="24"/>
          <w:szCs w:val="24"/>
        </w:rPr>
      </w:pPr>
    </w:p>
    <w:p w14:paraId="355B08AD">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7. JUSTIFICATIVA PARA O NÃO PARCELAMENTO DA SOLUÇÃO</w:t>
      </w:r>
    </w:p>
    <w:p w14:paraId="0068A639">
      <w:pPr>
        <w:pStyle w:val="61"/>
        <w:tabs>
          <w:tab w:val="left" w:pos="363"/>
        </w:tabs>
        <w:spacing w:before="2" w:line="237" w:lineRule="auto"/>
        <w:ind w:right="338"/>
        <w:rPr>
          <w:rFonts w:eastAsiaTheme="minorHAnsi"/>
          <w:sz w:val="24"/>
          <w:szCs w:val="24"/>
        </w:rPr>
      </w:pPr>
    </w:p>
    <w:p w14:paraId="49BD9639">
      <w:pPr>
        <w:pStyle w:val="61"/>
        <w:tabs>
          <w:tab w:val="left" w:pos="363"/>
        </w:tabs>
        <w:spacing w:before="2" w:line="237" w:lineRule="auto"/>
        <w:ind w:right="338"/>
        <w:rPr>
          <w:rFonts w:eastAsiaTheme="minorHAnsi"/>
          <w:sz w:val="24"/>
          <w:szCs w:val="24"/>
        </w:rPr>
      </w:pPr>
      <w:r>
        <w:rPr>
          <w:rFonts w:eastAsiaTheme="minorHAnsi"/>
          <w:sz w:val="24"/>
          <w:szCs w:val="24"/>
        </w:rPr>
        <w:t>7.1- A solução escolhida compreende a aquisição de 06 (seis) veículos 0 Km, portanto não há de se falar em parcelamento diante a impossibilidade de fracionamento do objeto.</w:t>
      </w:r>
    </w:p>
    <w:p w14:paraId="0938E76C">
      <w:pPr>
        <w:pStyle w:val="61"/>
        <w:tabs>
          <w:tab w:val="left" w:pos="363"/>
        </w:tabs>
        <w:spacing w:before="2" w:line="237" w:lineRule="auto"/>
        <w:ind w:right="338"/>
        <w:rPr>
          <w:sz w:val="24"/>
          <w:szCs w:val="24"/>
        </w:rPr>
      </w:pPr>
    </w:p>
    <w:p w14:paraId="6712CC82">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8. RESULTADOS PRETENDIDOS</w:t>
      </w:r>
    </w:p>
    <w:p w14:paraId="573C92DB">
      <w:pPr>
        <w:pStyle w:val="61"/>
        <w:tabs>
          <w:tab w:val="left" w:pos="363"/>
        </w:tabs>
        <w:spacing w:before="2" w:line="237" w:lineRule="auto"/>
        <w:ind w:right="338"/>
        <w:rPr>
          <w:sz w:val="24"/>
          <w:szCs w:val="24"/>
        </w:rPr>
      </w:pPr>
    </w:p>
    <w:p w14:paraId="49DAD085">
      <w:pPr>
        <w:pStyle w:val="61"/>
        <w:tabs>
          <w:tab w:val="left" w:pos="363"/>
        </w:tabs>
        <w:spacing w:before="2" w:line="237" w:lineRule="auto"/>
        <w:ind w:right="338"/>
        <w:rPr>
          <w:rFonts w:eastAsiaTheme="minorHAnsi"/>
          <w:sz w:val="24"/>
          <w:szCs w:val="24"/>
        </w:rPr>
      </w:pPr>
      <w:r>
        <w:rPr>
          <w:rFonts w:eastAsiaTheme="minorHAnsi"/>
          <w:sz w:val="24"/>
          <w:szCs w:val="24"/>
        </w:rPr>
        <w:t>8.1- Pretende-se, com a contratação:</w:t>
      </w:r>
    </w:p>
    <w:p w14:paraId="6A7E6CE9">
      <w:pPr>
        <w:pStyle w:val="61"/>
        <w:tabs>
          <w:tab w:val="left" w:pos="363"/>
        </w:tabs>
        <w:spacing w:before="2" w:line="237" w:lineRule="auto"/>
        <w:ind w:right="338"/>
        <w:rPr>
          <w:rFonts w:eastAsiaTheme="minorHAnsi"/>
          <w:sz w:val="24"/>
          <w:szCs w:val="24"/>
        </w:rPr>
      </w:pPr>
    </w:p>
    <w:p w14:paraId="0F250462">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Maior eficácia no atendimento aos pacientes que realizam tratamentos, procedimentos e/ou exames fora do município de Valença/RJ, que, para seu cumprimento, dependem da</w:t>
      </w:r>
    </w:p>
    <w:p w14:paraId="1A25DFFF">
      <w:pPr>
        <w:pStyle w:val="61"/>
        <w:rPr>
          <w:rFonts w:eastAsiaTheme="minorHAnsi"/>
          <w:sz w:val="24"/>
          <w:szCs w:val="24"/>
        </w:rPr>
      </w:pPr>
    </w:p>
    <w:p w14:paraId="3A0EFC8C">
      <w:pPr>
        <w:pStyle w:val="61"/>
        <w:tabs>
          <w:tab w:val="left" w:pos="363"/>
        </w:tabs>
        <w:spacing w:before="2" w:line="237" w:lineRule="auto"/>
        <w:ind w:right="338"/>
        <w:rPr>
          <w:rFonts w:eastAsiaTheme="minorHAnsi"/>
          <w:sz w:val="24"/>
          <w:szCs w:val="24"/>
        </w:rPr>
      </w:pPr>
      <w:r>
        <w:rPr>
          <w:rFonts w:eastAsiaTheme="minorHAnsi"/>
          <w:sz w:val="24"/>
          <w:szCs w:val="24"/>
        </w:rPr>
        <w:t>utilização de veículo automotor oficial para que os servidores e pacientes possam se deslocar com adequada segurança e conforto a fim de desenvolver com qualidade a demanda interna da Secretaria Municipal de Saúde, importando a melhor entrega à sociedade.</w:t>
      </w:r>
    </w:p>
    <w:p w14:paraId="6BFB6890">
      <w:pPr>
        <w:pStyle w:val="61"/>
        <w:tabs>
          <w:tab w:val="left" w:pos="363"/>
        </w:tabs>
        <w:spacing w:before="2" w:line="237" w:lineRule="auto"/>
        <w:ind w:right="338"/>
        <w:rPr>
          <w:rFonts w:eastAsiaTheme="minorHAnsi"/>
          <w:sz w:val="24"/>
          <w:szCs w:val="24"/>
        </w:rPr>
      </w:pPr>
    </w:p>
    <w:p w14:paraId="26E7571F">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Redução de custos de manutenção junto a oficina contratada, visto que o veículo novo não demandará ônus com manutenção e trocas de peças cobertas por garantia contratual, durante o período garantia;</w:t>
      </w:r>
    </w:p>
    <w:p w14:paraId="14060F04">
      <w:pPr>
        <w:pStyle w:val="61"/>
        <w:tabs>
          <w:tab w:val="left" w:pos="363"/>
        </w:tabs>
        <w:spacing w:before="2" w:line="237" w:lineRule="auto"/>
        <w:ind w:right="338"/>
        <w:rPr>
          <w:rFonts w:eastAsiaTheme="minorHAnsi"/>
          <w:sz w:val="24"/>
          <w:szCs w:val="24"/>
        </w:rPr>
      </w:pPr>
    </w:p>
    <w:p w14:paraId="477ABC42">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Redução do consumo de combustíveis, em virtude de que veículos novos dispõem de tecnologia atualizada, com aumento de eficiência energética.</w:t>
      </w:r>
    </w:p>
    <w:p w14:paraId="4A950578">
      <w:pPr>
        <w:tabs>
          <w:tab w:val="left" w:pos="363"/>
        </w:tabs>
        <w:spacing w:before="2" w:line="237" w:lineRule="auto"/>
        <w:ind w:right="338"/>
        <w:rPr>
          <w:sz w:val="24"/>
          <w:szCs w:val="24"/>
        </w:rPr>
      </w:pPr>
    </w:p>
    <w:p w14:paraId="51FFB019">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9. ANÁLISE DE RISCO</w:t>
      </w:r>
    </w:p>
    <w:p w14:paraId="59139150">
      <w:pPr>
        <w:pStyle w:val="61"/>
        <w:tabs>
          <w:tab w:val="left" w:pos="363"/>
        </w:tabs>
        <w:spacing w:before="2" w:line="237" w:lineRule="auto"/>
        <w:ind w:right="338"/>
        <w:rPr>
          <w:sz w:val="24"/>
          <w:szCs w:val="24"/>
        </w:rPr>
      </w:pPr>
    </w:p>
    <w:p w14:paraId="5EBA88EC">
      <w:pPr>
        <w:pStyle w:val="61"/>
        <w:tabs>
          <w:tab w:val="left" w:pos="363"/>
        </w:tabs>
        <w:spacing w:before="2" w:line="237" w:lineRule="auto"/>
        <w:ind w:right="338"/>
        <w:rPr>
          <w:rFonts w:eastAsiaTheme="minorHAnsi"/>
          <w:sz w:val="24"/>
          <w:szCs w:val="24"/>
        </w:rPr>
      </w:pPr>
      <w:r>
        <w:rPr>
          <w:rFonts w:eastAsiaTheme="minorHAnsi"/>
          <w:sz w:val="24"/>
          <w:szCs w:val="24"/>
        </w:rPr>
        <w:t>9.1- Os itens licitados foram devidamente especificados e quantificados, diminuindo assim os riscos de uma aquisição indesejada ou ineficiente.</w:t>
      </w:r>
    </w:p>
    <w:p w14:paraId="35239DED">
      <w:pPr>
        <w:pStyle w:val="61"/>
        <w:tabs>
          <w:tab w:val="left" w:pos="363"/>
        </w:tabs>
        <w:spacing w:before="2" w:line="237" w:lineRule="auto"/>
        <w:ind w:right="338"/>
        <w:rPr>
          <w:rFonts w:eastAsiaTheme="minorHAnsi"/>
          <w:sz w:val="24"/>
          <w:szCs w:val="24"/>
        </w:rPr>
      </w:pPr>
    </w:p>
    <w:p w14:paraId="326E5EEC">
      <w:pPr>
        <w:pStyle w:val="61"/>
        <w:tabs>
          <w:tab w:val="left" w:pos="363"/>
        </w:tabs>
        <w:spacing w:before="2" w:line="237" w:lineRule="auto"/>
        <w:ind w:right="338"/>
        <w:rPr>
          <w:rFonts w:eastAsiaTheme="minorHAnsi"/>
          <w:sz w:val="24"/>
          <w:szCs w:val="24"/>
        </w:rPr>
      </w:pPr>
      <w:r>
        <w:rPr>
          <w:rFonts w:eastAsiaTheme="minorHAnsi"/>
          <w:sz w:val="24"/>
          <w:szCs w:val="24"/>
        </w:rPr>
        <w:t>9.2- Diante o planejamento desenvolvido e apresentado neste ETP, a Administração Municipal tem como proposito uma aquisição eficiente e vantajosa.</w:t>
      </w:r>
    </w:p>
    <w:p w14:paraId="4F3C44B2">
      <w:pPr>
        <w:pStyle w:val="61"/>
        <w:tabs>
          <w:tab w:val="left" w:pos="363"/>
        </w:tabs>
        <w:spacing w:before="2" w:line="237" w:lineRule="auto"/>
        <w:ind w:right="338"/>
        <w:rPr>
          <w:rFonts w:eastAsiaTheme="minorHAnsi"/>
          <w:sz w:val="24"/>
          <w:szCs w:val="24"/>
        </w:rPr>
      </w:pPr>
    </w:p>
    <w:p w14:paraId="56244D02">
      <w:pPr>
        <w:pStyle w:val="61"/>
        <w:tabs>
          <w:tab w:val="left" w:pos="363"/>
        </w:tabs>
        <w:spacing w:before="2" w:line="237" w:lineRule="auto"/>
        <w:ind w:right="338"/>
        <w:rPr>
          <w:rFonts w:eastAsiaTheme="minorHAnsi"/>
          <w:sz w:val="24"/>
          <w:szCs w:val="24"/>
        </w:rPr>
      </w:pPr>
      <w:r>
        <w:rPr>
          <w:rFonts w:eastAsiaTheme="minorHAnsi"/>
          <w:sz w:val="24"/>
          <w:szCs w:val="24"/>
        </w:rPr>
        <w:t>9.3- Caberá ao Gestor do Contrato identificar os eventos de risco e geri-los em ordem crítica de maior impacto junto aos objetivos a serem alcançados.</w:t>
      </w:r>
    </w:p>
    <w:p w14:paraId="49AB3897">
      <w:pPr>
        <w:pStyle w:val="61"/>
        <w:rPr>
          <w:rFonts w:eastAsiaTheme="minorHAnsi"/>
          <w:sz w:val="24"/>
          <w:szCs w:val="24"/>
        </w:rPr>
      </w:pPr>
    </w:p>
    <w:p w14:paraId="48A6E427">
      <w:pPr>
        <w:pStyle w:val="61"/>
        <w:tabs>
          <w:tab w:val="left" w:pos="363"/>
        </w:tabs>
        <w:spacing w:before="2" w:line="237" w:lineRule="auto"/>
        <w:ind w:right="338"/>
        <w:rPr>
          <w:rFonts w:eastAsiaTheme="minorHAnsi"/>
          <w:sz w:val="24"/>
          <w:szCs w:val="24"/>
        </w:rPr>
      </w:pPr>
      <w:r>
        <w:rPr>
          <w:rFonts w:eastAsiaTheme="minorHAnsi"/>
          <w:sz w:val="24"/>
          <w:szCs w:val="24"/>
        </w:rPr>
        <w:t>9.4- Para demonstração seguem os mapas de risco:</w:t>
      </w:r>
    </w:p>
    <w:p w14:paraId="458B8A34">
      <w:pPr>
        <w:pStyle w:val="61"/>
        <w:tabs>
          <w:tab w:val="left" w:pos="363"/>
        </w:tabs>
        <w:spacing w:before="2" w:line="237" w:lineRule="auto"/>
        <w:ind w:right="338"/>
        <w:rPr>
          <w:rFonts w:eastAsiaTheme="minorHAnsi"/>
          <w:sz w:val="24"/>
          <w:szCs w:val="24"/>
        </w:rPr>
      </w:pPr>
    </w:p>
    <w:p w14:paraId="1541C529">
      <w:pPr>
        <w:pStyle w:val="61"/>
        <w:tabs>
          <w:tab w:val="left" w:pos="363"/>
        </w:tabs>
        <w:ind w:right="338"/>
        <w:jc w:val="center"/>
        <w:rPr>
          <w:rFonts w:eastAsiaTheme="minorHAnsi"/>
          <w:sz w:val="24"/>
          <w:szCs w:val="24"/>
        </w:rPr>
      </w:pPr>
      <w:r>
        <w:rPr>
          <w:rFonts w:eastAsiaTheme="minorHAnsi"/>
          <w:sz w:val="24"/>
          <w:szCs w:val="24"/>
        </w:rPr>
        <w:t>MAPA DE RISCO I</w:t>
      </w:r>
    </w:p>
    <w:p w14:paraId="17356853">
      <w:pPr>
        <w:pStyle w:val="61"/>
        <w:tabs>
          <w:tab w:val="left" w:pos="363"/>
        </w:tabs>
        <w:ind w:right="338"/>
        <w:jc w:val="center"/>
        <w:rPr>
          <w:rFonts w:eastAsiaTheme="minorHAnsi"/>
          <w:sz w:val="24"/>
          <w:szCs w:val="24"/>
        </w:rPr>
      </w:pPr>
      <w:r>
        <w:rPr>
          <w:rFonts w:eastAsiaTheme="minorHAnsi"/>
          <w:sz w:val="24"/>
          <w:szCs w:val="24"/>
        </w:rPr>
        <w:t>(Planejamento da Aquisição)</w:t>
      </w:r>
    </w:p>
    <w:p w14:paraId="76EFF4FE">
      <w:pPr>
        <w:pStyle w:val="61"/>
        <w:tabs>
          <w:tab w:val="left" w:pos="363"/>
        </w:tabs>
        <w:ind w:right="338"/>
        <w:rPr>
          <w:rFonts w:eastAsiaTheme="minorHAnsi"/>
          <w:sz w:val="24"/>
          <w:szCs w:val="24"/>
        </w:rPr>
      </w:pPr>
    </w:p>
    <w:tbl>
      <w:tblPr>
        <w:tblStyle w:val="60"/>
        <w:tblW w:w="908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49"/>
        <w:gridCol w:w="1189"/>
        <w:gridCol w:w="1700"/>
        <w:gridCol w:w="567"/>
        <w:gridCol w:w="1628"/>
        <w:gridCol w:w="637"/>
        <w:gridCol w:w="1712"/>
      </w:tblGrid>
      <w:tr w14:paraId="76EBA7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082" w:type="dxa"/>
            <w:gridSpan w:val="7"/>
            <w:shd w:val="clear" w:color="auto" w:fill="CCCCCC"/>
          </w:tcPr>
          <w:p w14:paraId="6E96A0FE">
            <w:pPr>
              <w:pStyle w:val="61"/>
              <w:tabs>
                <w:tab w:val="left" w:pos="363"/>
              </w:tabs>
              <w:spacing w:before="2" w:line="237" w:lineRule="auto"/>
              <w:ind w:right="338"/>
              <w:jc w:val="center"/>
              <w:rPr>
                <w:rFonts w:eastAsiaTheme="minorHAnsi"/>
                <w:sz w:val="24"/>
                <w:szCs w:val="24"/>
              </w:rPr>
            </w:pPr>
            <w:r>
              <w:rPr>
                <w:rFonts w:eastAsiaTheme="minorHAnsi"/>
                <w:sz w:val="24"/>
                <w:szCs w:val="24"/>
              </w:rPr>
              <w:t>RISCO 01</w:t>
            </w:r>
          </w:p>
          <w:p w14:paraId="23AB1FB2">
            <w:pPr>
              <w:pStyle w:val="61"/>
              <w:tabs>
                <w:tab w:val="left" w:pos="363"/>
              </w:tabs>
              <w:spacing w:before="2" w:line="237" w:lineRule="auto"/>
              <w:ind w:right="338"/>
              <w:jc w:val="center"/>
              <w:rPr>
                <w:rFonts w:eastAsiaTheme="minorHAnsi"/>
                <w:sz w:val="24"/>
                <w:szCs w:val="24"/>
              </w:rPr>
            </w:pPr>
            <w:r>
              <w:rPr>
                <w:rFonts w:eastAsiaTheme="minorHAnsi"/>
                <w:sz w:val="24"/>
                <w:szCs w:val="24"/>
              </w:rPr>
              <w:t>Licitação Deserta</w:t>
            </w:r>
          </w:p>
        </w:tc>
      </w:tr>
      <w:tr w14:paraId="13B09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 w:hRule="atLeast"/>
        </w:trPr>
        <w:tc>
          <w:tcPr>
            <w:tcW w:w="1649" w:type="dxa"/>
          </w:tcPr>
          <w:p w14:paraId="4973E706">
            <w:pPr>
              <w:pStyle w:val="61"/>
              <w:tabs>
                <w:tab w:val="left" w:pos="363"/>
              </w:tabs>
              <w:spacing w:before="2" w:line="237" w:lineRule="auto"/>
              <w:ind w:right="338"/>
              <w:jc w:val="center"/>
              <w:rPr>
                <w:rFonts w:eastAsiaTheme="minorHAnsi"/>
                <w:sz w:val="24"/>
                <w:szCs w:val="24"/>
              </w:rPr>
            </w:pPr>
            <w:r>
              <w:rPr>
                <w:rFonts w:eastAsiaTheme="minorHAnsi"/>
                <w:sz w:val="24"/>
                <w:szCs w:val="24"/>
              </w:rPr>
              <w:t>Probabilidade:</w:t>
            </w:r>
          </w:p>
        </w:tc>
        <w:tc>
          <w:tcPr>
            <w:tcW w:w="1189" w:type="dxa"/>
          </w:tcPr>
          <w:p w14:paraId="7E72BA9A">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0" w:type="dxa"/>
          </w:tcPr>
          <w:p w14:paraId="126D9597">
            <w:pPr>
              <w:tabs>
                <w:tab w:val="left" w:pos="363"/>
              </w:tabs>
              <w:spacing w:before="2" w:line="237" w:lineRule="auto"/>
              <w:ind w:left="80" w:right="338"/>
              <w:jc w:val="center"/>
              <w:rPr>
                <w:sz w:val="24"/>
                <w:szCs w:val="24"/>
              </w:rPr>
            </w:pPr>
            <w:r>
              <w:rPr>
                <w:sz w:val="24"/>
                <w:szCs w:val="24"/>
              </w:rPr>
              <w:t>Baixa</w:t>
            </w:r>
          </w:p>
        </w:tc>
        <w:tc>
          <w:tcPr>
            <w:tcW w:w="567" w:type="dxa"/>
          </w:tcPr>
          <w:p w14:paraId="11108E36">
            <w:pPr>
              <w:tabs>
                <w:tab w:val="left" w:pos="363"/>
              </w:tabs>
              <w:spacing w:before="2" w:line="237" w:lineRule="auto"/>
              <w:ind w:left="80" w:right="338"/>
              <w:jc w:val="center"/>
              <w:rPr>
                <w:sz w:val="24"/>
                <w:szCs w:val="24"/>
              </w:rPr>
            </w:pPr>
          </w:p>
        </w:tc>
        <w:tc>
          <w:tcPr>
            <w:tcW w:w="1628" w:type="dxa"/>
          </w:tcPr>
          <w:p w14:paraId="432C649D">
            <w:pPr>
              <w:tabs>
                <w:tab w:val="left" w:pos="363"/>
              </w:tabs>
              <w:spacing w:before="2" w:line="237" w:lineRule="auto"/>
              <w:ind w:left="80" w:right="338"/>
              <w:jc w:val="center"/>
              <w:rPr>
                <w:sz w:val="24"/>
                <w:szCs w:val="24"/>
              </w:rPr>
            </w:pPr>
            <w:r>
              <w:rPr>
                <w:sz w:val="24"/>
                <w:szCs w:val="24"/>
              </w:rPr>
              <w:t>Média</w:t>
            </w:r>
          </w:p>
        </w:tc>
        <w:tc>
          <w:tcPr>
            <w:tcW w:w="637" w:type="dxa"/>
          </w:tcPr>
          <w:p w14:paraId="191CC151">
            <w:pPr>
              <w:tabs>
                <w:tab w:val="left" w:pos="363"/>
              </w:tabs>
              <w:spacing w:before="2" w:line="237" w:lineRule="auto"/>
              <w:ind w:left="80" w:right="338"/>
              <w:jc w:val="center"/>
              <w:rPr>
                <w:sz w:val="24"/>
                <w:szCs w:val="24"/>
              </w:rPr>
            </w:pPr>
          </w:p>
        </w:tc>
        <w:tc>
          <w:tcPr>
            <w:tcW w:w="1712" w:type="dxa"/>
          </w:tcPr>
          <w:p w14:paraId="7F30F193">
            <w:pPr>
              <w:pStyle w:val="61"/>
              <w:tabs>
                <w:tab w:val="left" w:pos="363"/>
              </w:tabs>
              <w:spacing w:before="2" w:line="237" w:lineRule="auto"/>
              <w:ind w:right="338"/>
              <w:jc w:val="center"/>
              <w:rPr>
                <w:rFonts w:eastAsiaTheme="minorHAnsi"/>
                <w:sz w:val="24"/>
                <w:szCs w:val="24"/>
              </w:rPr>
            </w:pPr>
            <w:r>
              <w:rPr>
                <w:rFonts w:eastAsiaTheme="minorHAnsi"/>
                <w:sz w:val="24"/>
                <w:szCs w:val="24"/>
              </w:rPr>
              <w:t>Alta</w:t>
            </w:r>
          </w:p>
        </w:tc>
      </w:tr>
      <w:tr w14:paraId="35420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1649" w:type="dxa"/>
            <w:tcBorders>
              <w:bottom w:val="single" w:color="000000" w:sz="4" w:space="0"/>
            </w:tcBorders>
          </w:tcPr>
          <w:p w14:paraId="7927C5B5">
            <w:pPr>
              <w:pStyle w:val="61"/>
              <w:tabs>
                <w:tab w:val="left" w:pos="363"/>
              </w:tabs>
              <w:spacing w:before="2" w:line="237" w:lineRule="auto"/>
              <w:ind w:right="338"/>
              <w:jc w:val="center"/>
              <w:rPr>
                <w:rFonts w:eastAsiaTheme="minorHAnsi"/>
                <w:sz w:val="24"/>
                <w:szCs w:val="24"/>
              </w:rPr>
            </w:pPr>
            <w:r>
              <w:rPr>
                <w:rFonts w:eastAsiaTheme="minorHAnsi"/>
                <w:sz w:val="24"/>
                <w:szCs w:val="24"/>
              </w:rPr>
              <w:t>Impacto:</w:t>
            </w:r>
          </w:p>
        </w:tc>
        <w:tc>
          <w:tcPr>
            <w:tcW w:w="1189" w:type="dxa"/>
            <w:tcBorders>
              <w:bottom w:val="single" w:color="000000" w:sz="4" w:space="0"/>
            </w:tcBorders>
          </w:tcPr>
          <w:p w14:paraId="05D8A0B3">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0" w:type="dxa"/>
            <w:tcBorders>
              <w:bottom w:val="single" w:color="000000" w:sz="4" w:space="0"/>
            </w:tcBorders>
          </w:tcPr>
          <w:p w14:paraId="6299B4E3">
            <w:pPr>
              <w:pStyle w:val="61"/>
              <w:tabs>
                <w:tab w:val="left" w:pos="363"/>
              </w:tabs>
              <w:spacing w:before="2" w:line="237" w:lineRule="auto"/>
              <w:ind w:right="338"/>
              <w:jc w:val="center"/>
              <w:rPr>
                <w:rFonts w:eastAsiaTheme="minorHAnsi"/>
                <w:sz w:val="24"/>
                <w:szCs w:val="24"/>
              </w:rPr>
            </w:pPr>
            <w:r>
              <w:rPr>
                <w:rFonts w:eastAsiaTheme="minorHAnsi"/>
                <w:sz w:val="24"/>
                <w:szCs w:val="24"/>
              </w:rPr>
              <w:t>Baixo</w:t>
            </w:r>
          </w:p>
        </w:tc>
        <w:tc>
          <w:tcPr>
            <w:tcW w:w="567" w:type="dxa"/>
            <w:tcBorders>
              <w:bottom w:val="single" w:color="000000" w:sz="4" w:space="0"/>
            </w:tcBorders>
          </w:tcPr>
          <w:p w14:paraId="3DBD5BB4">
            <w:pPr>
              <w:pStyle w:val="61"/>
              <w:tabs>
                <w:tab w:val="left" w:pos="363"/>
              </w:tabs>
              <w:spacing w:before="2" w:line="237" w:lineRule="auto"/>
              <w:ind w:right="338"/>
              <w:jc w:val="center"/>
              <w:rPr>
                <w:rFonts w:eastAsiaTheme="minorHAnsi"/>
                <w:sz w:val="24"/>
                <w:szCs w:val="24"/>
              </w:rPr>
            </w:pPr>
          </w:p>
        </w:tc>
        <w:tc>
          <w:tcPr>
            <w:tcW w:w="1628" w:type="dxa"/>
            <w:tcBorders>
              <w:bottom w:val="single" w:color="000000" w:sz="4" w:space="0"/>
            </w:tcBorders>
          </w:tcPr>
          <w:p w14:paraId="2473F02B">
            <w:pPr>
              <w:pStyle w:val="61"/>
              <w:tabs>
                <w:tab w:val="left" w:pos="363"/>
              </w:tabs>
              <w:spacing w:before="2" w:line="237" w:lineRule="auto"/>
              <w:ind w:right="338"/>
              <w:jc w:val="center"/>
              <w:rPr>
                <w:rFonts w:eastAsiaTheme="minorHAnsi"/>
                <w:sz w:val="24"/>
                <w:szCs w:val="24"/>
              </w:rPr>
            </w:pPr>
            <w:r>
              <w:rPr>
                <w:rFonts w:eastAsiaTheme="minorHAnsi"/>
                <w:sz w:val="24"/>
                <w:szCs w:val="24"/>
              </w:rPr>
              <w:t>Médio</w:t>
            </w:r>
          </w:p>
        </w:tc>
        <w:tc>
          <w:tcPr>
            <w:tcW w:w="637" w:type="dxa"/>
            <w:tcBorders>
              <w:bottom w:val="single" w:color="000000" w:sz="4" w:space="0"/>
            </w:tcBorders>
          </w:tcPr>
          <w:p w14:paraId="0ED16B0E">
            <w:pPr>
              <w:pStyle w:val="61"/>
              <w:tabs>
                <w:tab w:val="left" w:pos="363"/>
              </w:tabs>
              <w:spacing w:before="2" w:line="237" w:lineRule="auto"/>
              <w:ind w:right="338"/>
              <w:jc w:val="center"/>
              <w:rPr>
                <w:rFonts w:eastAsiaTheme="minorHAnsi"/>
                <w:sz w:val="24"/>
                <w:szCs w:val="24"/>
              </w:rPr>
            </w:pPr>
          </w:p>
        </w:tc>
        <w:tc>
          <w:tcPr>
            <w:tcW w:w="1712" w:type="dxa"/>
            <w:tcBorders>
              <w:bottom w:val="single" w:color="000000" w:sz="4" w:space="0"/>
            </w:tcBorders>
          </w:tcPr>
          <w:p w14:paraId="1304ABDD">
            <w:pPr>
              <w:pStyle w:val="61"/>
              <w:tabs>
                <w:tab w:val="left" w:pos="363"/>
              </w:tabs>
              <w:spacing w:before="2" w:line="237" w:lineRule="auto"/>
              <w:ind w:right="338"/>
              <w:jc w:val="center"/>
              <w:rPr>
                <w:rFonts w:eastAsiaTheme="minorHAnsi"/>
                <w:sz w:val="24"/>
                <w:szCs w:val="24"/>
              </w:rPr>
            </w:pPr>
            <w:r>
              <w:rPr>
                <w:rFonts w:eastAsiaTheme="minorHAnsi"/>
                <w:sz w:val="24"/>
                <w:szCs w:val="24"/>
              </w:rPr>
              <w:t>Alto</w:t>
            </w:r>
          </w:p>
        </w:tc>
      </w:tr>
      <w:tr w14:paraId="34259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 w:hRule="atLeast"/>
        </w:trPr>
        <w:tc>
          <w:tcPr>
            <w:tcW w:w="1649" w:type="dxa"/>
            <w:tcBorders>
              <w:top w:val="single" w:color="000000" w:sz="4" w:space="0"/>
              <w:left w:val="single" w:color="000000" w:sz="4" w:space="0"/>
              <w:bottom w:val="single" w:color="000000" w:sz="4" w:space="0"/>
              <w:right w:val="single" w:color="000000" w:sz="4" w:space="0"/>
            </w:tcBorders>
          </w:tcPr>
          <w:p w14:paraId="40B23880">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5084" w:type="dxa"/>
            <w:gridSpan w:val="4"/>
            <w:tcBorders>
              <w:top w:val="single" w:color="000000" w:sz="4" w:space="0"/>
              <w:left w:val="single" w:color="000000" w:sz="4" w:space="0"/>
              <w:bottom w:val="single" w:color="000000" w:sz="4" w:space="0"/>
              <w:right w:val="single" w:color="000000" w:sz="4" w:space="0"/>
            </w:tcBorders>
          </w:tcPr>
          <w:p w14:paraId="102E563A">
            <w:pPr>
              <w:pStyle w:val="61"/>
              <w:tabs>
                <w:tab w:val="left" w:pos="363"/>
              </w:tabs>
              <w:spacing w:before="2" w:line="237" w:lineRule="auto"/>
              <w:ind w:right="338"/>
              <w:jc w:val="center"/>
              <w:rPr>
                <w:rFonts w:eastAsiaTheme="minorHAnsi"/>
                <w:sz w:val="24"/>
                <w:szCs w:val="24"/>
              </w:rPr>
            </w:pPr>
            <w:r>
              <w:rPr>
                <w:rFonts w:eastAsiaTheme="minorHAnsi"/>
                <w:sz w:val="24"/>
                <w:szCs w:val="24"/>
              </w:rPr>
              <w:t>Ação Preventiva</w:t>
            </w:r>
          </w:p>
        </w:tc>
        <w:tc>
          <w:tcPr>
            <w:tcW w:w="2349" w:type="dxa"/>
            <w:gridSpan w:val="2"/>
            <w:tcBorders>
              <w:top w:val="single" w:color="000000" w:sz="4" w:space="0"/>
              <w:left w:val="single" w:color="000000" w:sz="4" w:space="0"/>
              <w:bottom w:val="single" w:color="000000" w:sz="4" w:space="0"/>
              <w:right w:val="single" w:color="000000" w:sz="4" w:space="0"/>
            </w:tcBorders>
          </w:tcPr>
          <w:p w14:paraId="5CAEACBC">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02B4B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1649" w:type="dxa"/>
            <w:tcBorders>
              <w:top w:val="single" w:color="000000" w:sz="4" w:space="0"/>
              <w:left w:val="single" w:color="000000" w:sz="4" w:space="0"/>
              <w:bottom w:val="single" w:color="000000" w:sz="4" w:space="0"/>
              <w:right w:val="single" w:color="000000" w:sz="4" w:space="0"/>
            </w:tcBorders>
          </w:tcPr>
          <w:p w14:paraId="20CFC9EE">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5084" w:type="dxa"/>
            <w:gridSpan w:val="4"/>
            <w:tcBorders>
              <w:top w:val="single" w:color="000000" w:sz="4" w:space="0"/>
              <w:left w:val="single" w:color="000000" w:sz="4" w:space="0"/>
              <w:bottom w:val="single" w:color="000000" w:sz="4" w:space="0"/>
              <w:right w:val="single" w:color="000000" w:sz="4" w:space="0"/>
            </w:tcBorders>
          </w:tcPr>
          <w:p w14:paraId="5E8263E9">
            <w:pPr>
              <w:pStyle w:val="61"/>
              <w:tabs>
                <w:tab w:val="left" w:pos="363"/>
              </w:tabs>
              <w:spacing w:before="2" w:line="237" w:lineRule="auto"/>
              <w:ind w:right="338"/>
              <w:jc w:val="center"/>
              <w:rPr>
                <w:rFonts w:eastAsiaTheme="minorHAnsi"/>
                <w:sz w:val="24"/>
                <w:szCs w:val="24"/>
              </w:rPr>
            </w:pPr>
            <w:r>
              <w:rPr>
                <w:rFonts w:eastAsiaTheme="minorHAnsi"/>
                <w:sz w:val="24"/>
                <w:szCs w:val="24"/>
              </w:rPr>
              <w:t>Planejamento considerando a contratações anteriores e as atuais necessidades para</w:t>
            </w:r>
          </w:p>
          <w:p w14:paraId="4B3FC12E">
            <w:pPr>
              <w:pStyle w:val="61"/>
              <w:tabs>
                <w:tab w:val="left" w:pos="363"/>
              </w:tabs>
              <w:spacing w:before="2" w:line="237" w:lineRule="auto"/>
              <w:ind w:right="338"/>
              <w:jc w:val="center"/>
              <w:rPr>
                <w:rFonts w:eastAsiaTheme="minorHAnsi"/>
                <w:sz w:val="24"/>
                <w:szCs w:val="24"/>
              </w:rPr>
            </w:pPr>
            <w:r>
              <w:rPr>
                <w:rFonts w:eastAsiaTheme="minorHAnsi"/>
                <w:sz w:val="24"/>
                <w:szCs w:val="24"/>
              </w:rPr>
              <w:t>estabelecer orçamento Atrativo</w:t>
            </w:r>
          </w:p>
        </w:tc>
        <w:tc>
          <w:tcPr>
            <w:tcW w:w="2349" w:type="dxa"/>
            <w:gridSpan w:val="2"/>
            <w:tcBorders>
              <w:top w:val="single" w:color="000000" w:sz="4" w:space="0"/>
              <w:left w:val="single" w:color="000000" w:sz="4" w:space="0"/>
              <w:bottom w:val="single" w:color="000000" w:sz="4" w:space="0"/>
              <w:right w:val="single" w:color="000000" w:sz="4" w:space="0"/>
            </w:tcBorders>
          </w:tcPr>
          <w:p w14:paraId="67E2CBE3">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r w14:paraId="12689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649" w:type="dxa"/>
            <w:tcBorders>
              <w:top w:val="single" w:color="000000" w:sz="4" w:space="0"/>
              <w:left w:val="single" w:color="000000" w:sz="4" w:space="0"/>
              <w:bottom w:val="single" w:color="000000" w:sz="4" w:space="0"/>
              <w:right w:val="single" w:color="000000" w:sz="4" w:space="0"/>
            </w:tcBorders>
          </w:tcPr>
          <w:p w14:paraId="6AC0946E">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5084" w:type="dxa"/>
            <w:gridSpan w:val="4"/>
            <w:tcBorders>
              <w:top w:val="single" w:color="000000" w:sz="4" w:space="0"/>
              <w:left w:val="single" w:color="000000" w:sz="4" w:space="0"/>
              <w:bottom w:val="single" w:color="000000" w:sz="4" w:space="0"/>
              <w:right w:val="single" w:color="000000" w:sz="4" w:space="0"/>
            </w:tcBorders>
          </w:tcPr>
          <w:p w14:paraId="790B32FA">
            <w:pPr>
              <w:pStyle w:val="61"/>
              <w:tabs>
                <w:tab w:val="left" w:pos="363"/>
              </w:tabs>
              <w:spacing w:before="2" w:line="237" w:lineRule="auto"/>
              <w:ind w:right="338"/>
              <w:jc w:val="center"/>
              <w:rPr>
                <w:rFonts w:eastAsiaTheme="minorHAnsi"/>
                <w:sz w:val="24"/>
                <w:szCs w:val="24"/>
              </w:rPr>
            </w:pPr>
            <w:r>
              <w:rPr>
                <w:rFonts w:eastAsiaTheme="minorHAnsi"/>
                <w:sz w:val="24"/>
                <w:szCs w:val="24"/>
              </w:rPr>
              <w:t>Ação de Contingência</w:t>
            </w:r>
          </w:p>
        </w:tc>
        <w:tc>
          <w:tcPr>
            <w:tcW w:w="2349" w:type="dxa"/>
            <w:gridSpan w:val="2"/>
            <w:tcBorders>
              <w:top w:val="single" w:color="000000" w:sz="4" w:space="0"/>
              <w:left w:val="single" w:color="000000" w:sz="4" w:space="0"/>
              <w:bottom w:val="single" w:color="000000" w:sz="4" w:space="0"/>
              <w:right w:val="single" w:color="000000" w:sz="4" w:space="0"/>
            </w:tcBorders>
          </w:tcPr>
          <w:p w14:paraId="3DAF8AB2">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2ADF6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1649" w:type="dxa"/>
            <w:tcBorders>
              <w:top w:val="single" w:color="000000" w:sz="4" w:space="0"/>
              <w:left w:val="single" w:color="000000" w:sz="4" w:space="0"/>
              <w:bottom w:val="single" w:color="000000" w:sz="4" w:space="0"/>
              <w:right w:val="single" w:color="000000" w:sz="4" w:space="0"/>
            </w:tcBorders>
          </w:tcPr>
          <w:p w14:paraId="52210509">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5084" w:type="dxa"/>
            <w:gridSpan w:val="4"/>
            <w:tcBorders>
              <w:top w:val="single" w:color="000000" w:sz="4" w:space="0"/>
              <w:left w:val="single" w:color="000000" w:sz="4" w:space="0"/>
              <w:bottom w:val="single" w:color="000000" w:sz="4" w:space="0"/>
              <w:right w:val="single" w:color="000000" w:sz="4" w:space="0"/>
            </w:tcBorders>
          </w:tcPr>
          <w:p w14:paraId="57CB1E2F">
            <w:pPr>
              <w:pStyle w:val="61"/>
              <w:tabs>
                <w:tab w:val="left" w:pos="363"/>
              </w:tabs>
              <w:spacing w:before="2" w:line="237" w:lineRule="auto"/>
              <w:ind w:right="338"/>
              <w:jc w:val="center"/>
              <w:rPr>
                <w:rFonts w:eastAsiaTheme="minorHAnsi"/>
                <w:sz w:val="24"/>
                <w:szCs w:val="24"/>
              </w:rPr>
            </w:pPr>
            <w:r>
              <w:rPr>
                <w:rFonts w:eastAsiaTheme="minorHAnsi"/>
                <w:sz w:val="24"/>
                <w:szCs w:val="24"/>
              </w:rPr>
              <w:t>Novo planejamento para posterior licitação</w:t>
            </w:r>
          </w:p>
        </w:tc>
        <w:tc>
          <w:tcPr>
            <w:tcW w:w="2349" w:type="dxa"/>
            <w:gridSpan w:val="2"/>
            <w:tcBorders>
              <w:top w:val="single" w:color="000000" w:sz="4" w:space="0"/>
              <w:left w:val="single" w:color="000000" w:sz="4" w:space="0"/>
              <w:bottom w:val="single" w:color="000000" w:sz="4" w:space="0"/>
              <w:right w:val="single" w:color="000000" w:sz="4" w:space="0"/>
            </w:tcBorders>
          </w:tcPr>
          <w:p w14:paraId="2651CAD7">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bl>
    <w:p w14:paraId="572B36B5">
      <w:pPr>
        <w:pStyle w:val="61"/>
        <w:tabs>
          <w:tab w:val="left" w:pos="363"/>
        </w:tabs>
        <w:spacing w:before="2" w:line="237" w:lineRule="auto"/>
        <w:ind w:left="0" w:right="338"/>
        <w:jc w:val="center"/>
        <w:rPr>
          <w:rFonts w:eastAsiaTheme="minorHAnsi"/>
          <w:sz w:val="24"/>
          <w:szCs w:val="24"/>
        </w:rPr>
      </w:pPr>
    </w:p>
    <w:tbl>
      <w:tblPr>
        <w:tblStyle w:val="60"/>
        <w:tblW w:w="9084" w:type="dxa"/>
        <w:tblInd w:w="-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50"/>
        <w:gridCol w:w="1190"/>
        <w:gridCol w:w="1700"/>
        <w:gridCol w:w="567"/>
        <w:gridCol w:w="1702"/>
        <w:gridCol w:w="563"/>
        <w:gridCol w:w="1712"/>
      </w:tblGrid>
      <w:tr w14:paraId="74BE64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9082" w:type="dxa"/>
            <w:gridSpan w:val="7"/>
            <w:tcBorders>
              <w:left w:val="single" w:color="000000" w:sz="2" w:space="0"/>
              <w:bottom w:val="single" w:color="000000" w:sz="2" w:space="0"/>
              <w:right w:val="single" w:color="000000" w:sz="2" w:space="0"/>
            </w:tcBorders>
            <w:shd w:val="clear" w:color="auto" w:fill="CCCCCC"/>
          </w:tcPr>
          <w:p w14:paraId="2FDEB1F8">
            <w:pPr>
              <w:pStyle w:val="61"/>
              <w:tabs>
                <w:tab w:val="left" w:pos="363"/>
              </w:tabs>
              <w:spacing w:before="2" w:line="237" w:lineRule="auto"/>
              <w:ind w:right="338"/>
              <w:jc w:val="center"/>
              <w:rPr>
                <w:rFonts w:eastAsiaTheme="minorHAnsi"/>
                <w:sz w:val="24"/>
                <w:szCs w:val="24"/>
              </w:rPr>
            </w:pPr>
            <w:r>
              <w:rPr>
                <w:rFonts w:eastAsiaTheme="minorHAnsi"/>
                <w:sz w:val="24"/>
                <w:szCs w:val="24"/>
              </w:rPr>
              <w:t>RISCO 02</w:t>
            </w:r>
          </w:p>
          <w:p w14:paraId="0D5E465F">
            <w:pPr>
              <w:pStyle w:val="61"/>
              <w:tabs>
                <w:tab w:val="left" w:pos="363"/>
              </w:tabs>
              <w:spacing w:before="2" w:line="237" w:lineRule="auto"/>
              <w:ind w:right="338"/>
              <w:jc w:val="center"/>
              <w:rPr>
                <w:rFonts w:eastAsiaTheme="minorHAnsi"/>
                <w:sz w:val="24"/>
                <w:szCs w:val="24"/>
              </w:rPr>
            </w:pPr>
            <w:r>
              <w:rPr>
                <w:rFonts w:eastAsiaTheme="minorHAnsi"/>
                <w:sz w:val="24"/>
                <w:szCs w:val="24"/>
              </w:rPr>
              <w:t>Contratada Com Profissionais Desqualificados</w:t>
            </w:r>
          </w:p>
        </w:tc>
      </w:tr>
      <w:tr w14:paraId="59AF2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 w:hRule="atLeast"/>
        </w:trPr>
        <w:tc>
          <w:tcPr>
            <w:tcW w:w="1649" w:type="dxa"/>
            <w:tcBorders>
              <w:top w:val="single" w:color="000000" w:sz="2" w:space="0"/>
              <w:left w:val="single" w:color="000000" w:sz="2" w:space="0"/>
              <w:bottom w:val="single" w:color="000000" w:sz="2" w:space="0"/>
              <w:right w:val="single" w:color="000000" w:sz="2" w:space="0"/>
            </w:tcBorders>
          </w:tcPr>
          <w:p w14:paraId="472B38F1">
            <w:pPr>
              <w:pStyle w:val="61"/>
              <w:tabs>
                <w:tab w:val="left" w:pos="363"/>
              </w:tabs>
              <w:spacing w:before="2" w:line="237" w:lineRule="auto"/>
              <w:ind w:right="338"/>
              <w:jc w:val="center"/>
              <w:rPr>
                <w:rFonts w:eastAsiaTheme="minorHAnsi"/>
                <w:sz w:val="24"/>
                <w:szCs w:val="24"/>
              </w:rPr>
            </w:pPr>
            <w:r>
              <w:rPr>
                <w:rFonts w:eastAsiaTheme="minorHAnsi"/>
                <w:sz w:val="24"/>
                <w:szCs w:val="24"/>
              </w:rPr>
              <w:t>Probabilidade:</w:t>
            </w:r>
          </w:p>
        </w:tc>
        <w:tc>
          <w:tcPr>
            <w:tcW w:w="1189" w:type="dxa"/>
            <w:tcBorders>
              <w:top w:val="single" w:color="000000" w:sz="2" w:space="0"/>
              <w:left w:val="single" w:color="000000" w:sz="2" w:space="0"/>
              <w:bottom w:val="single" w:color="000000" w:sz="2" w:space="0"/>
              <w:right w:val="single" w:color="000000" w:sz="2" w:space="0"/>
            </w:tcBorders>
          </w:tcPr>
          <w:p w14:paraId="60345BAD">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0" w:type="dxa"/>
            <w:tcBorders>
              <w:top w:val="single" w:color="000000" w:sz="2" w:space="0"/>
              <w:left w:val="single" w:color="000000" w:sz="2" w:space="0"/>
              <w:bottom w:val="single" w:color="000000" w:sz="2" w:space="0"/>
              <w:right w:val="single" w:color="000000" w:sz="2" w:space="0"/>
            </w:tcBorders>
          </w:tcPr>
          <w:p w14:paraId="53ADEBCA">
            <w:pPr>
              <w:pStyle w:val="61"/>
              <w:tabs>
                <w:tab w:val="left" w:pos="363"/>
              </w:tabs>
              <w:spacing w:before="2" w:line="237" w:lineRule="auto"/>
              <w:ind w:right="338"/>
              <w:jc w:val="center"/>
              <w:rPr>
                <w:rFonts w:eastAsiaTheme="minorHAnsi"/>
                <w:sz w:val="24"/>
                <w:szCs w:val="24"/>
              </w:rPr>
            </w:pPr>
            <w:r>
              <w:rPr>
                <w:rFonts w:eastAsiaTheme="minorHAnsi"/>
                <w:sz w:val="24"/>
                <w:szCs w:val="24"/>
              </w:rPr>
              <w:t>Baixa</w:t>
            </w:r>
          </w:p>
        </w:tc>
        <w:tc>
          <w:tcPr>
            <w:tcW w:w="567" w:type="dxa"/>
            <w:tcBorders>
              <w:top w:val="single" w:color="000000" w:sz="2" w:space="0"/>
              <w:left w:val="single" w:color="000000" w:sz="2" w:space="0"/>
              <w:bottom w:val="single" w:color="000000" w:sz="2" w:space="0"/>
              <w:right w:val="single" w:color="000000" w:sz="2" w:space="0"/>
            </w:tcBorders>
          </w:tcPr>
          <w:p w14:paraId="523B8C75">
            <w:pPr>
              <w:pStyle w:val="61"/>
              <w:tabs>
                <w:tab w:val="left" w:pos="363"/>
              </w:tabs>
              <w:spacing w:before="2" w:line="237" w:lineRule="auto"/>
              <w:ind w:right="338"/>
              <w:jc w:val="center"/>
              <w:rPr>
                <w:rFonts w:eastAsiaTheme="minorHAnsi"/>
                <w:sz w:val="24"/>
                <w:szCs w:val="24"/>
              </w:rPr>
            </w:pPr>
          </w:p>
        </w:tc>
        <w:tc>
          <w:tcPr>
            <w:tcW w:w="1702" w:type="dxa"/>
            <w:tcBorders>
              <w:top w:val="single" w:color="000000" w:sz="2" w:space="0"/>
              <w:left w:val="single" w:color="000000" w:sz="2" w:space="0"/>
              <w:bottom w:val="single" w:color="000000" w:sz="2" w:space="0"/>
              <w:right w:val="single" w:color="000000" w:sz="2" w:space="0"/>
            </w:tcBorders>
          </w:tcPr>
          <w:p w14:paraId="518849CE">
            <w:pPr>
              <w:pStyle w:val="61"/>
              <w:tabs>
                <w:tab w:val="left" w:pos="363"/>
              </w:tabs>
              <w:spacing w:before="2" w:line="237" w:lineRule="auto"/>
              <w:ind w:right="338"/>
              <w:jc w:val="center"/>
              <w:rPr>
                <w:rFonts w:eastAsiaTheme="minorHAnsi"/>
                <w:sz w:val="24"/>
                <w:szCs w:val="24"/>
              </w:rPr>
            </w:pPr>
            <w:r>
              <w:rPr>
                <w:rFonts w:eastAsiaTheme="minorHAnsi"/>
                <w:sz w:val="24"/>
                <w:szCs w:val="24"/>
              </w:rPr>
              <w:t>Média</w:t>
            </w:r>
          </w:p>
        </w:tc>
        <w:tc>
          <w:tcPr>
            <w:tcW w:w="563" w:type="dxa"/>
            <w:tcBorders>
              <w:top w:val="single" w:color="000000" w:sz="2" w:space="0"/>
              <w:left w:val="single" w:color="000000" w:sz="2" w:space="0"/>
              <w:bottom w:val="single" w:color="000000" w:sz="2" w:space="0"/>
              <w:right w:val="single" w:color="000000" w:sz="2" w:space="0"/>
            </w:tcBorders>
          </w:tcPr>
          <w:p w14:paraId="748453DA">
            <w:pPr>
              <w:pStyle w:val="61"/>
              <w:tabs>
                <w:tab w:val="left" w:pos="363"/>
              </w:tabs>
              <w:spacing w:before="2" w:line="237" w:lineRule="auto"/>
              <w:ind w:right="338"/>
              <w:jc w:val="center"/>
              <w:rPr>
                <w:rFonts w:eastAsiaTheme="minorHAnsi"/>
                <w:sz w:val="24"/>
                <w:szCs w:val="24"/>
              </w:rPr>
            </w:pPr>
          </w:p>
        </w:tc>
        <w:tc>
          <w:tcPr>
            <w:tcW w:w="1712" w:type="dxa"/>
            <w:tcBorders>
              <w:top w:val="single" w:color="000000" w:sz="2" w:space="0"/>
              <w:left w:val="single" w:color="000000" w:sz="2" w:space="0"/>
              <w:bottom w:val="single" w:color="000000" w:sz="2" w:space="0"/>
              <w:right w:val="single" w:color="000000" w:sz="2" w:space="0"/>
            </w:tcBorders>
          </w:tcPr>
          <w:p w14:paraId="1391C13E">
            <w:pPr>
              <w:pStyle w:val="61"/>
              <w:tabs>
                <w:tab w:val="left" w:pos="363"/>
              </w:tabs>
              <w:spacing w:before="2" w:line="237" w:lineRule="auto"/>
              <w:ind w:right="338"/>
              <w:jc w:val="center"/>
              <w:rPr>
                <w:rFonts w:eastAsiaTheme="minorHAnsi"/>
                <w:sz w:val="24"/>
                <w:szCs w:val="24"/>
              </w:rPr>
            </w:pPr>
            <w:r>
              <w:rPr>
                <w:rFonts w:eastAsiaTheme="minorHAnsi"/>
                <w:sz w:val="24"/>
                <w:szCs w:val="24"/>
              </w:rPr>
              <w:t>Alta</w:t>
            </w:r>
          </w:p>
        </w:tc>
      </w:tr>
      <w:tr w14:paraId="7E88D3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3" w:hRule="atLeast"/>
        </w:trPr>
        <w:tc>
          <w:tcPr>
            <w:tcW w:w="1649" w:type="dxa"/>
            <w:tcBorders>
              <w:top w:val="single" w:color="000000" w:sz="2" w:space="0"/>
              <w:left w:val="single" w:color="000000" w:sz="2" w:space="0"/>
              <w:bottom w:val="single" w:color="000000" w:sz="2" w:space="0"/>
              <w:right w:val="single" w:color="000000" w:sz="2" w:space="0"/>
            </w:tcBorders>
          </w:tcPr>
          <w:p w14:paraId="2ECB13BE">
            <w:pPr>
              <w:pStyle w:val="61"/>
              <w:tabs>
                <w:tab w:val="left" w:pos="363"/>
              </w:tabs>
              <w:spacing w:before="2" w:line="237" w:lineRule="auto"/>
              <w:ind w:right="338"/>
              <w:jc w:val="center"/>
              <w:rPr>
                <w:rFonts w:eastAsiaTheme="minorHAnsi"/>
                <w:sz w:val="24"/>
                <w:szCs w:val="24"/>
              </w:rPr>
            </w:pPr>
            <w:r>
              <w:rPr>
                <w:rFonts w:eastAsiaTheme="minorHAnsi"/>
                <w:sz w:val="24"/>
                <w:szCs w:val="24"/>
              </w:rPr>
              <w:t>Impacto:</w:t>
            </w:r>
          </w:p>
        </w:tc>
        <w:tc>
          <w:tcPr>
            <w:tcW w:w="1189" w:type="dxa"/>
            <w:tcBorders>
              <w:top w:val="single" w:color="000000" w:sz="2" w:space="0"/>
              <w:left w:val="single" w:color="000000" w:sz="2" w:space="0"/>
              <w:bottom w:val="single" w:color="000000" w:sz="2" w:space="0"/>
              <w:right w:val="single" w:color="000000" w:sz="2" w:space="0"/>
            </w:tcBorders>
          </w:tcPr>
          <w:p w14:paraId="3FC11CF1">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0" w:type="dxa"/>
            <w:tcBorders>
              <w:top w:val="single" w:color="000000" w:sz="2" w:space="0"/>
              <w:left w:val="single" w:color="000000" w:sz="2" w:space="0"/>
              <w:bottom w:val="single" w:color="000000" w:sz="2" w:space="0"/>
              <w:right w:val="single" w:color="000000" w:sz="2" w:space="0"/>
            </w:tcBorders>
          </w:tcPr>
          <w:p w14:paraId="6E8016E0">
            <w:pPr>
              <w:pStyle w:val="61"/>
              <w:tabs>
                <w:tab w:val="left" w:pos="363"/>
              </w:tabs>
              <w:spacing w:before="2" w:line="237" w:lineRule="auto"/>
              <w:ind w:right="338"/>
              <w:jc w:val="center"/>
              <w:rPr>
                <w:rFonts w:eastAsiaTheme="minorHAnsi"/>
                <w:sz w:val="24"/>
                <w:szCs w:val="24"/>
              </w:rPr>
            </w:pPr>
            <w:r>
              <w:rPr>
                <w:rFonts w:eastAsiaTheme="minorHAnsi"/>
                <w:sz w:val="24"/>
                <w:szCs w:val="24"/>
              </w:rPr>
              <w:t>Baixo</w:t>
            </w:r>
          </w:p>
        </w:tc>
        <w:tc>
          <w:tcPr>
            <w:tcW w:w="567" w:type="dxa"/>
            <w:tcBorders>
              <w:top w:val="single" w:color="000000" w:sz="2" w:space="0"/>
              <w:left w:val="single" w:color="000000" w:sz="2" w:space="0"/>
              <w:bottom w:val="single" w:color="000000" w:sz="2" w:space="0"/>
              <w:right w:val="single" w:color="000000" w:sz="2" w:space="0"/>
            </w:tcBorders>
          </w:tcPr>
          <w:p w14:paraId="42FA7A99">
            <w:pPr>
              <w:pStyle w:val="61"/>
              <w:tabs>
                <w:tab w:val="left" w:pos="363"/>
              </w:tabs>
              <w:spacing w:before="2" w:line="237" w:lineRule="auto"/>
              <w:ind w:right="338"/>
              <w:jc w:val="center"/>
              <w:rPr>
                <w:rFonts w:eastAsiaTheme="minorHAnsi"/>
                <w:sz w:val="24"/>
                <w:szCs w:val="24"/>
              </w:rPr>
            </w:pPr>
          </w:p>
        </w:tc>
        <w:tc>
          <w:tcPr>
            <w:tcW w:w="1702" w:type="dxa"/>
            <w:tcBorders>
              <w:top w:val="single" w:color="000000" w:sz="2" w:space="0"/>
              <w:left w:val="single" w:color="000000" w:sz="2" w:space="0"/>
              <w:bottom w:val="single" w:color="000000" w:sz="2" w:space="0"/>
              <w:right w:val="single" w:color="000000" w:sz="2" w:space="0"/>
            </w:tcBorders>
          </w:tcPr>
          <w:p w14:paraId="1E3E16BA">
            <w:pPr>
              <w:pStyle w:val="61"/>
              <w:tabs>
                <w:tab w:val="left" w:pos="363"/>
              </w:tabs>
              <w:spacing w:before="2" w:line="237" w:lineRule="auto"/>
              <w:ind w:right="338"/>
              <w:jc w:val="center"/>
              <w:rPr>
                <w:rFonts w:eastAsiaTheme="minorHAnsi"/>
                <w:sz w:val="24"/>
                <w:szCs w:val="24"/>
              </w:rPr>
            </w:pPr>
            <w:r>
              <w:rPr>
                <w:rFonts w:eastAsiaTheme="minorHAnsi"/>
                <w:sz w:val="24"/>
                <w:szCs w:val="24"/>
              </w:rPr>
              <w:t>Médio</w:t>
            </w:r>
          </w:p>
        </w:tc>
        <w:tc>
          <w:tcPr>
            <w:tcW w:w="563" w:type="dxa"/>
            <w:tcBorders>
              <w:top w:val="single" w:color="000000" w:sz="2" w:space="0"/>
              <w:left w:val="single" w:color="000000" w:sz="2" w:space="0"/>
              <w:bottom w:val="single" w:color="000000" w:sz="2" w:space="0"/>
              <w:right w:val="single" w:color="000000" w:sz="2" w:space="0"/>
            </w:tcBorders>
          </w:tcPr>
          <w:p w14:paraId="4EFA9A90">
            <w:pPr>
              <w:pStyle w:val="61"/>
              <w:tabs>
                <w:tab w:val="left" w:pos="363"/>
              </w:tabs>
              <w:spacing w:before="2" w:line="237" w:lineRule="auto"/>
              <w:ind w:right="338"/>
              <w:jc w:val="center"/>
              <w:rPr>
                <w:rFonts w:eastAsiaTheme="minorHAnsi"/>
                <w:sz w:val="24"/>
                <w:szCs w:val="24"/>
              </w:rPr>
            </w:pPr>
          </w:p>
        </w:tc>
        <w:tc>
          <w:tcPr>
            <w:tcW w:w="1712" w:type="dxa"/>
            <w:tcBorders>
              <w:top w:val="single" w:color="000000" w:sz="2" w:space="0"/>
              <w:left w:val="single" w:color="000000" w:sz="2" w:space="0"/>
              <w:bottom w:val="single" w:color="000000" w:sz="2" w:space="0"/>
              <w:right w:val="single" w:color="000000" w:sz="2" w:space="0"/>
            </w:tcBorders>
          </w:tcPr>
          <w:p w14:paraId="7F085A9A">
            <w:pPr>
              <w:pStyle w:val="61"/>
              <w:tabs>
                <w:tab w:val="left" w:pos="363"/>
              </w:tabs>
              <w:spacing w:before="2" w:line="237" w:lineRule="auto"/>
              <w:ind w:right="338"/>
              <w:jc w:val="center"/>
              <w:rPr>
                <w:rFonts w:eastAsiaTheme="minorHAnsi"/>
                <w:sz w:val="24"/>
                <w:szCs w:val="24"/>
              </w:rPr>
            </w:pPr>
            <w:r>
              <w:rPr>
                <w:rFonts w:eastAsiaTheme="minorHAnsi"/>
                <w:sz w:val="24"/>
                <w:szCs w:val="24"/>
              </w:rPr>
              <w:t>Alto</w:t>
            </w:r>
          </w:p>
        </w:tc>
      </w:tr>
      <w:tr w14:paraId="60F2B0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649" w:type="dxa"/>
            <w:tcBorders>
              <w:top w:val="single" w:color="000000" w:sz="2" w:space="0"/>
              <w:left w:val="single" w:color="000000" w:sz="2" w:space="0"/>
              <w:bottom w:val="single" w:color="000000" w:sz="2" w:space="0"/>
              <w:right w:val="single" w:color="000000" w:sz="2" w:space="0"/>
            </w:tcBorders>
          </w:tcPr>
          <w:p w14:paraId="62233A96">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5158" w:type="dxa"/>
            <w:gridSpan w:val="4"/>
            <w:tcBorders>
              <w:top w:val="single" w:color="000000" w:sz="2" w:space="0"/>
              <w:left w:val="single" w:color="000000" w:sz="2" w:space="0"/>
              <w:bottom w:val="single" w:color="000000" w:sz="2" w:space="0"/>
              <w:right w:val="single" w:color="000000" w:sz="2" w:space="0"/>
            </w:tcBorders>
          </w:tcPr>
          <w:p w14:paraId="7C8B656E">
            <w:pPr>
              <w:pStyle w:val="61"/>
              <w:tabs>
                <w:tab w:val="left" w:pos="363"/>
              </w:tabs>
              <w:spacing w:before="2" w:line="237" w:lineRule="auto"/>
              <w:ind w:right="338"/>
              <w:jc w:val="center"/>
              <w:rPr>
                <w:rFonts w:eastAsiaTheme="minorHAnsi"/>
                <w:sz w:val="24"/>
                <w:szCs w:val="24"/>
              </w:rPr>
            </w:pPr>
            <w:r>
              <w:rPr>
                <w:rFonts w:eastAsiaTheme="minorHAnsi"/>
                <w:sz w:val="24"/>
                <w:szCs w:val="24"/>
              </w:rPr>
              <w:t>Ação Preventiva</w:t>
            </w:r>
          </w:p>
        </w:tc>
        <w:tc>
          <w:tcPr>
            <w:tcW w:w="2275" w:type="dxa"/>
            <w:gridSpan w:val="2"/>
            <w:tcBorders>
              <w:top w:val="single" w:color="000000" w:sz="2" w:space="0"/>
              <w:left w:val="single" w:color="000000" w:sz="2" w:space="0"/>
              <w:bottom w:val="single" w:color="000000" w:sz="2" w:space="0"/>
              <w:right w:val="single" w:color="000000" w:sz="2" w:space="0"/>
            </w:tcBorders>
          </w:tcPr>
          <w:p w14:paraId="0ABF1E1B">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4706C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trPr>
        <w:tc>
          <w:tcPr>
            <w:tcW w:w="1649" w:type="dxa"/>
            <w:tcBorders>
              <w:top w:val="single" w:color="000000" w:sz="2" w:space="0"/>
              <w:left w:val="single" w:color="000000" w:sz="2" w:space="0"/>
              <w:bottom w:val="single" w:color="000000" w:sz="2" w:space="0"/>
              <w:right w:val="single" w:color="000000" w:sz="2" w:space="0"/>
            </w:tcBorders>
          </w:tcPr>
          <w:p w14:paraId="5959A091">
            <w:pPr>
              <w:tabs>
                <w:tab w:val="left" w:pos="363"/>
              </w:tabs>
              <w:spacing w:before="2" w:line="237" w:lineRule="auto"/>
              <w:ind w:left="80" w:right="338"/>
              <w:jc w:val="center"/>
              <w:rPr>
                <w:sz w:val="24"/>
                <w:szCs w:val="24"/>
              </w:rPr>
            </w:pPr>
            <w:r>
              <w:rPr>
                <w:sz w:val="24"/>
                <w:szCs w:val="24"/>
              </w:rPr>
              <w:t>1.</w:t>
            </w:r>
          </w:p>
        </w:tc>
        <w:tc>
          <w:tcPr>
            <w:tcW w:w="5158" w:type="dxa"/>
            <w:gridSpan w:val="4"/>
            <w:tcBorders>
              <w:top w:val="single" w:color="000000" w:sz="2" w:space="0"/>
              <w:left w:val="single" w:color="000000" w:sz="2" w:space="0"/>
              <w:bottom w:val="single" w:color="000000" w:sz="2" w:space="0"/>
              <w:right w:val="single" w:color="000000" w:sz="2" w:space="0"/>
            </w:tcBorders>
          </w:tcPr>
          <w:p w14:paraId="5E71C872">
            <w:pPr>
              <w:pStyle w:val="61"/>
              <w:tabs>
                <w:tab w:val="left" w:pos="363"/>
              </w:tabs>
              <w:spacing w:before="2" w:line="237" w:lineRule="auto"/>
              <w:ind w:right="338"/>
              <w:jc w:val="center"/>
              <w:rPr>
                <w:rFonts w:eastAsiaTheme="minorHAnsi"/>
                <w:sz w:val="24"/>
                <w:szCs w:val="24"/>
              </w:rPr>
            </w:pPr>
            <w:r>
              <w:rPr>
                <w:rFonts w:eastAsiaTheme="minorHAnsi"/>
                <w:sz w:val="24"/>
                <w:szCs w:val="24"/>
              </w:rPr>
              <w:t>Constar no planejamento a análise dos requisitos imprescindíveis à aquisição</w:t>
            </w:r>
          </w:p>
        </w:tc>
        <w:tc>
          <w:tcPr>
            <w:tcW w:w="2275" w:type="dxa"/>
            <w:gridSpan w:val="2"/>
            <w:tcBorders>
              <w:top w:val="single" w:color="000000" w:sz="2" w:space="0"/>
              <w:left w:val="single" w:color="000000" w:sz="2" w:space="0"/>
              <w:bottom w:val="single" w:color="000000" w:sz="2" w:space="0"/>
              <w:right w:val="single" w:color="000000" w:sz="2" w:space="0"/>
            </w:tcBorders>
          </w:tcPr>
          <w:p w14:paraId="4E239B39">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r w14:paraId="23BC92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649" w:type="dxa"/>
            <w:tcBorders>
              <w:top w:val="single" w:color="000000" w:sz="2" w:space="0"/>
              <w:left w:val="single" w:color="000000" w:sz="2" w:space="0"/>
              <w:bottom w:val="single" w:color="000000" w:sz="2" w:space="0"/>
              <w:right w:val="single" w:color="000000" w:sz="2" w:space="0"/>
            </w:tcBorders>
          </w:tcPr>
          <w:p w14:paraId="6984381D">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5158" w:type="dxa"/>
            <w:gridSpan w:val="4"/>
            <w:tcBorders>
              <w:top w:val="single" w:color="000000" w:sz="2" w:space="0"/>
              <w:left w:val="single" w:color="000000" w:sz="2" w:space="0"/>
              <w:bottom w:val="single" w:color="000000" w:sz="2" w:space="0"/>
              <w:right w:val="single" w:color="000000" w:sz="2" w:space="0"/>
            </w:tcBorders>
          </w:tcPr>
          <w:p w14:paraId="1069929F">
            <w:pPr>
              <w:pStyle w:val="61"/>
              <w:tabs>
                <w:tab w:val="left" w:pos="363"/>
              </w:tabs>
              <w:spacing w:before="2" w:line="237" w:lineRule="auto"/>
              <w:ind w:right="338"/>
              <w:jc w:val="center"/>
              <w:rPr>
                <w:rFonts w:eastAsiaTheme="minorHAnsi"/>
                <w:sz w:val="24"/>
                <w:szCs w:val="24"/>
              </w:rPr>
            </w:pPr>
            <w:r>
              <w:rPr>
                <w:rFonts w:eastAsiaTheme="minorHAnsi"/>
                <w:sz w:val="24"/>
                <w:szCs w:val="24"/>
              </w:rPr>
              <w:t>Ação de Contingência</w:t>
            </w:r>
          </w:p>
        </w:tc>
        <w:tc>
          <w:tcPr>
            <w:tcW w:w="2275" w:type="dxa"/>
            <w:gridSpan w:val="2"/>
            <w:tcBorders>
              <w:top w:val="single" w:color="000000" w:sz="2" w:space="0"/>
              <w:left w:val="single" w:color="000000" w:sz="2" w:space="0"/>
              <w:bottom w:val="single" w:color="000000" w:sz="2" w:space="0"/>
              <w:right w:val="single" w:color="000000" w:sz="2" w:space="0"/>
            </w:tcBorders>
          </w:tcPr>
          <w:p w14:paraId="3D2A8852">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150874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1649" w:type="dxa"/>
            <w:tcBorders>
              <w:top w:val="single" w:color="000000" w:sz="2" w:space="0"/>
              <w:left w:val="single" w:color="000000" w:sz="2" w:space="0"/>
              <w:bottom w:val="single" w:color="000000" w:sz="4" w:space="0"/>
              <w:right w:val="single" w:color="000000" w:sz="2" w:space="0"/>
            </w:tcBorders>
          </w:tcPr>
          <w:p w14:paraId="144265C8">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5158" w:type="dxa"/>
            <w:gridSpan w:val="4"/>
            <w:tcBorders>
              <w:top w:val="single" w:color="000000" w:sz="2" w:space="0"/>
              <w:left w:val="single" w:color="000000" w:sz="2" w:space="0"/>
              <w:bottom w:val="single" w:color="000000" w:sz="4" w:space="0"/>
              <w:right w:val="single" w:color="000000" w:sz="2" w:space="0"/>
            </w:tcBorders>
          </w:tcPr>
          <w:p w14:paraId="524771A9">
            <w:pPr>
              <w:pStyle w:val="61"/>
              <w:tabs>
                <w:tab w:val="left" w:pos="363"/>
              </w:tabs>
              <w:spacing w:before="2" w:line="237" w:lineRule="auto"/>
              <w:ind w:right="338"/>
              <w:jc w:val="center"/>
              <w:rPr>
                <w:rFonts w:eastAsiaTheme="minorHAnsi"/>
                <w:sz w:val="24"/>
                <w:szCs w:val="24"/>
              </w:rPr>
            </w:pPr>
            <w:r>
              <w:rPr>
                <w:rFonts w:eastAsiaTheme="minorHAnsi"/>
                <w:sz w:val="24"/>
                <w:szCs w:val="24"/>
              </w:rPr>
              <w:t>Exigir comprovações e solicitar que a contratada tome as</w:t>
            </w:r>
          </w:p>
          <w:p w14:paraId="19E04F97">
            <w:pPr>
              <w:pStyle w:val="61"/>
              <w:tabs>
                <w:tab w:val="left" w:pos="363"/>
              </w:tabs>
              <w:spacing w:before="2" w:line="237" w:lineRule="auto"/>
              <w:ind w:right="338"/>
              <w:jc w:val="center"/>
              <w:rPr>
                <w:rFonts w:eastAsiaTheme="minorHAnsi"/>
                <w:sz w:val="24"/>
                <w:szCs w:val="24"/>
              </w:rPr>
            </w:pPr>
            <w:r>
              <w:rPr>
                <w:rFonts w:eastAsiaTheme="minorHAnsi"/>
                <w:sz w:val="24"/>
                <w:szCs w:val="24"/>
              </w:rPr>
              <w:t>providências cabíveis caso seja necessário</w:t>
            </w:r>
          </w:p>
        </w:tc>
        <w:tc>
          <w:tcPr>
            <w:tcW w:w="2275" w:type="dxa"/>
            <w:gridSpan w:val="2"/>
            <w:tcBorders>
              <w:top w:val="single" w:color="000000" w:sz="2" w:space="0"/>
              <w:left w:val="single" w:color="000000" w:sz="2" w:space="0"/>
              <w:bottom w:val="single" w:color="000000" w:sz="4" w:space="0"/>
              <w:right w:val="single" w:color="000000" w:sz="2" w:space="0"/>
            </w:tcBorders>
          </w:tcPr>
          <w:p w14:paraId="4D5A1C9C">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bl>
    <w:p w14:paraId="00768891">
      <w:pPr>
        <w:pStyle w:val="61"/>
        <w:tabs>
          <w:tab w:val="left" w:pos="363"/>
        </w:tabs>
        <w:spacing w:before="2" w:line="237" w:lineRule="auto"/>
        <w:ind w:left="-224" w:right="338"/>
        <w:jc w:val="center"/>
        <w:rPr>
          <w:rFonts w:eastAsiaTheme="minorHAnsi"/>
          <w:sz w:val="24"/>
          <w:szCs w:val="24"/>
        </w:rPr>
      </w:pPr>
    </w:p>
    <w:tbl>
      <w:tblPr>
        <w:tblStyle w:val="60"/>
        <w:tblW w:w="9082" w:type="dxa"/>
        <w:tblInd w:w="-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49"/>
        <w:gridCol w:w="1189"/>
        <w:gridCol w:w="1700"/>
        <w:gridCol w:w="567"/>
        <w:gridCol w:w="1702"/>
        <w:gridCol w:w="563"/>
        <w:gridCol w:w="1712"/>
      </w:tblGrid>
      <w:tr w14:paraId="794F6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9082" w:type="dxa"/>
            <w:gridSpan w:val="7"/>
            <w:tcBorders>
              <w:left w:val="single" w:color="000000" w:sz="2" w:space="0"/>
              <w:bottom w:val="single" w:color="000000" w:sz="2" w:space="0"/>
              <w:right w:val="single" w:color="000000" w:sz="2" w:space="0"/>
            </w:tcBorders>
            <w:shd w:val="clear" w:color="auto" w:fill="CCCCCC"/>
          </w:tcPr>
          <w:p w14:paraId="5E61C1D8">
            <w:pPr>
              <w:pStyle w:val="61"/>
              <w:tabs>
                <w:tab w:val="left" w:pos="363"/>
              </w:tabs>
              <w:spacing w:before="2" w:line="237" w:lineRule="auto"/>
              <w:ind w:right="338"/>
              <w:jc w:val="center"/>
              <w:rPr>
                <w:rFonts w:eastAsiaTheme="minorHAnsi"/>
                <w:sz w:val="24"/>
                <w:szCs w:val="24"/>
              </w:rPr>
            </w:pPr>
            <w:r>
              <w:rPr>
                <w:rFonts w:eastAsiaTheme="minorHAnsi"/>
                <w:sz w:val="24"/>
                <w:szCs w:val="24"/>
              </w:rPr>
              <w:t>RISCO 03</w:t>
            </w:r>
          </w:p>
          <w:p w14:paraId="67566AE3">
            <w:pPr>
              <w:pStyle w:val="61"/>
              <w:tabs>
                <w:tab w:val="left" w:pos="363"/>
              </w:tabs>
              <w:spacing w:before="2" w:line="237" w:lineRule="auto"/>
              <w:ind w:right="338"/>
              <w:jc w:val="center"/>
              <w:rPr>
                <w:rFonts w:eastAsiaTheme="minorHAnsi"/>
                <w:sz w:val="24"/>
                <w:szCs w:val="24"/>
              </w:rPr>
            </w:pPr>
            <w:r>
              <w:rPr>
                <w:rFonts w:eastAsiaTheme="minorHAnsi"/>
                <w:sz w:val="24"/>
                <w:szCs w:val="24"/>
              </w:rPr>
              <w:t>Aquisição de empresa sem aporte financeiro suficiente para prestação dos serviços</w:t>
            </w:r>
          </w:p>
        </w:tc>
      </w:tr>
      <w:tr w14:paraId="4E8DD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649" w:type="dxa"/>
            <w:tcBorders>
              <w:top w:val="single" w:color="000000" w:sz="2" w:space="0"/>
              <w:left w:val="single" w:color="000000" w:sz="2" w:space="0"/>
              <w:bottom w:val="single" w:color="000000" w:sz="2" w:space="0"/>
              <w:right w:val="single" w:color="000000" w:sz="2" w:space="0"/>
            </w:tcBorders>
          </w:tcPr>
          <w:p w14:paraId="7778C79F">
            <w:pPr>
              <w:pStyle w:val="61"/>
              <w:tabs>
                <w:tab w:val="left" w:pos="363"/>
              </w:tabs>
              <w:spacing w:before="2" w:line="237" w:lineRule="auto"/>
              <w:ind w:right="338"/>
              <w:jc w:val="center"/>
              <w:rPr>
                <w:rFonts w:eastAsiaTheme="minorHAnsi"/>
                <w:sz w:val="24"/>
                <w:szCs w:val="24"/>
              </w:rPr>
            </w:pPr>
            <w:r>
              <w:rPr>
                <w:rFonts w:eastAsiaTheme="minorHAnsi"/>
                <w:sz w:val="24"/>
                <w:szCs w:val="24"/>
              </w:rPr>
              <w:t>Probabilidade:</w:t>
            </w:r>
          </w:p>
        </w:tc>
        <w:tc>
          <w:tcPr>
            <w:tcW w:w="1189" w:type="dxa"/>
            <w:tcBorders>
              <w:top w:val="single" w:color="000000" w:sz="2" w:space="0"/>
              <w:left w:val="single" w:color="000000" w:sz="2" w:space="0"/>
              <w:bottom w:val="single" w:color="000000" w:sz="2" w:space="0"/>
              <w:right w:val="single" w:color="000000" w:sz="2" w:space="0"/>
            </w:tcBorders>
          </w:tcPr>
          <w:p w14:paraId="6F8F21F5">
            <w:pPr>
              <w:pStyle w:val="61"/>
              <w:tabs>
                <w:tab w:val="left" w:pos="363"/>
              </w:tabs>
              <w:spacing w:before="2" w:line="237" w:lineRule="auto"/>
              <w:ind w:right="338"/>
              <w:jc w:val="center"/>
              <w:rPr>
                <w:rFonts w:eastAsiaTheme="minorHAnsi"/>
                <w:sz w:val="24"/>
                <w:szCs w:val="24"/>
              </w:rPr>
            </w:pPr>
          </w:p>
        </w:tc>
        <w:tc>
          <w:tcPr>
            <w:tcW w:w="1700" w:type="dxa"/>
            <w:tcBorders>
              <w:top w:val="single" w:color="000000" w:sz="2" w:space="0"/>
              <w:left w:val="single" w:color="000000" w:sz="2" w:space="0"/>
              <w:bottom w:val="single" w:color="000000" w:sz="2" w:space="0"/>
              <w:right w:val="single" w:color="000000" w:sz="2" w:space="0"/>
            </w:tcBorders>
          </w:tcPr>
          <w:p w14:paraId="6116B64D">
            <w:pPr>
              <w:pStyle w:val="61"/>
              <w:tabs>
                <w:tab w:val="left" w:pos="363"/>
              </w:tabs>
              <w:spacing w:before="2" w:line="237" w:lineRule="auto"/>
              <w:ind w:right="338"/>
              <w:jc w:val="center"/>
              <w:rPr>
                <w:rFonts w:eastAsiaTheme="minorHAnsi"/>
                <w:sz w:val="24"/>
                <w:szCs w:val="24"/>
              </w:rPr>
            </w:pPr>
            <w:r>
              <w:rPr>
                <w:rFonts w:eastAsiaTheme="minorHAnsi"/>
                <w:sz w:val="24"/>
                <w:szCs w:val="24"/>
              </w:rPr>
              <w:t>Baixa</w:t>
            </w:r>
          </w:p>
        </w:tc>
        <w:tc>
          <w:tcPr>
            <w:tcW w:w="567" w:type="dxa"/>
            <w:tcBorders>
              <w:top w:val="single" w:color="000000" w:sz="2" w:space="0"/>
              <w:left w:val="single" w:color="000000" w:sz="2" w:space="0"/>
              <w:bottom w:val="single" w:color="000000" w:sz="2" w:space="0"/>
              <w:right w:val="single" w:color="000000" w:sz="2" w:space="0"/>
            </w:tcBorders>
          </w:tcPr>
          <w:p w14:paraId="3F5CA361">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2" w:type="dxa"/>
            <w:tcBorders>
              <w:top w:val="single" w:color="000000" w:sz="2" w:space="0"/>
              <w:left w:val="single" w:color="000000" w:sz="2" w:space="0"/>
              <w:bottom w:val="single" w:color="000000" w:sz="2" w:space="0"/>
              <w:right w:val="single" w:color="000000" w:sz="2" w:space="0"/>
            </w:tcBorders>
          </w:tcPr>
          <w:p w14:paraId="5FF4A04B">
            <w:pPr>
              <w:pStyle w:val="61"/>
              <w:tabs>
                <w:tab w:val="left" w:pos="363"/>
              </w:tabs>
              <w:spacing w:before="2" w:line="237" w:lineRule="auto"/>
              <w:ind w:right="338"/>
              <w:jc w:val="center"/>
              <w:rPr>
                <w:rFonts w:eastAsiaTheme="minorHAnsi"/>
                <w:sz w:val="24"/>
                <w:szCs w:val="24"/>
              </w:rPr>
            </w:pPr>
            <w:r>
              <w:rPr>
                <w:rFonts w:eastAsiaTheme="minorHAnsi"/>
                <w:sz w:val="24"/>
                <w:szCs w:val="24"/>
              </w:rPr>
              <w:t>Média</w:t>
            </w:r>
          </w:p>
        </w:tc>
        <w:tc>
          <w:tcPr>
            <w:tcW w:w="563" w:type="dxa"/>
            <w:tcBorders>
              <w:top w:val="single" w:color="000000" w:sz="2" w:space="0"/>
              <w:left w:val="single" w:color="000000" w:sz="2" w:space="0"/>
              <w:bottom w:val="single" w:color="000000" w:sz="2" w:space="0"/>
              <w:right w:val="single" w:color="000000" w:sz="2" w:space="0"/>
            </w:tcBorders>
          </w:tcPr>
          <w:p w14:paraId="46B65834">
            <w:pPr>
              <w:pStyle w:val="61"/>
              <w:tabs>
                <w:tab w:val="left" w:pos="363"/>
              </w:tabs>
              <w:spacing w:before="2" w:line="237" w:lineRule="auto"/>
              <w:ind w:right="338"/>
              <w:jc w:val="center"/>
              <w:rPr>
                <w:rFonts w:eastAsiaTheme="minorHAnsi"/>
                <w:sz w:val="24"/>
                <w:szCs w:val="24"/>
              </w:rPr>
            </w:pPr>
          </w:p>
        </w:tc>
        <w:tc>
          <w:tcPr>
            <w:tcW w:w="1712" w:type="dxa"/>
            <w:tcBorders>
              <w:top w:val="single" w:color="000000" w:sz="2" w:space="0"/>
              <w:left w:val="single" w:color="000000" w:sz="2" w:space="0"/>
              <w:bottom w:val="single" w:color="000000" w:sz="2" w:space="0"/>
              <w:right w:val="single" w:color="000000" w:sz="2" w:space="0"/>
            </w:tcBorders>
          </w:tcPr>
          <w:p w14:paraId="5C629F80">
            <w:pPr>
              <w:pStyle w:val="61"/>
              <w:tabs>
                <w:tab w:val="left" w:pos="363"/>
              </w:tabs>
              <w:spacing w:before="2" w:line="237" w:lineRule="auto"/>
              <w:ind w:right="338"/>
              <w:jc w:val="center"/>
              <w:rPr>
                <w:rFonts w:eastAsiaTheme="minorHAnsi"/>
                <w:sz w:val="24"/>
                <w:szCs w:val="24"/>
              </w:rPr>
            </w:pPr>
            <w:r>
              <w:rPr>
                <w:rFonts w:eastAsiaTheme="minorHAnsi"/>
                <w:sz w:val="24"/>
                <w:szCs w:val="24"/>
              </w:rPr>
              <w:t>Alta</w:t>
            </w:r>
          </w:p>
        </w:tc>
      </w:tr>
      <w:tr w14:paraId="71617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649" w:type="dxa"/>
            <w:tcBorders>
              <w:top w:val="single" w:color="000000" w:sz="2" w:space="0"/>
              <w:left w:val="single" w:color="000000" w:sz="2" w:space="0"/>
              <w:bottom w:val="single" w:color="000000" w:sz="2" w:space="0"/>
              <w:right w:val="single" w:color="000000" w:sz="2" w:space="0"/>
            </w:tcBorders>
          </w:tcPr>
          <w:p w14:paraId="33A9F8A7">
            <w:pPr>
              <w:pStyle w:val="61"/>
              <w:tabs>
                <w:tab w:val="left" w:pos="363"/>
              </w:tabs>
              <w:spacing w:before="2" w:line="237" w:lineRule="auto"/>
              <w:ind w:right="338"/>
              <w:jc w:val="center"/>
              <w:rPr>
                <w:rFonts w:eastAsiaTheme="minorHAnsi"/>
                <w:sz w:val="24"/>
                <w:szCs w:val="24"/>
              </w:rPr>
            </w:pPr>
            <w:r>
              <w:rPr>
                <w:rFonts w:eastAsiaTheme="minorHAnsi"/>
                <w:sz w:val="24"/>
                <w:szCs w:val="24"/>
              </w:rPr>
              <w:t>Impacto:</w:t>
            </w:r>
          </w:p>
        </w:tc>
        <w:tc>
          <w:tcPr>
            <w:tcW w:w="1189" w:type="dxa"/>
            <w:tcBorders>
              <w:top w:val="single" w:color="000000" w:sz="2" w:space="0"/>
              <w:left w:val="single" w:color="000000" w:sz="2" w:space="0"/>
              <w:bottom w:val="single" w:color="000000" w:sz="2" w:space="0"/>
              <w:right w:val="single" w:color="000000" w:sz="2" w:space="0"/>
            </w:tcBorders>
          </w:tcPr>
          <w:p w14:paraId="1AB4FAC2">
            <w:pPr>
              <w:pStyle w:val="61"/>
              <w:tabs>
                <w:tab w:val="left" w:pos="363"/>
              </w:tabs>
              <w:spacing w:before="2" w:line="237" w:lineRule="auto"/>
              <w:ind w:right="338"/>
              <w:jc w:val="center"/>
              <w:rPr>
                <w:rFonts w:eastAsiaTheme="minorHAnsi"/>
                <w:sz w:val="24"/>
                <w:szCs w:val="24"/>
              </w:rPr>
            </w:pPr>
          </w:p>
        </w:tc>
        <w:tc>
          <w:tcPr>
            <w:tcW w:w="1700" w:type="dxa"/>
            <w:tcBorders>
              <w:top w:val="single" w:color="000000" w:sz="2" w:space="0"/>
              <w:left w:val="single" w:color="000000" w:sz="2" w:space="0"/>
              <w:bottom w:val="single" w:color="000000" w:sz="2" w:space="0"/>
              <w:right w:val="single" w:color="000000" w:sz="2" w:space="0"/>
            </w:tcBorders>
          </w:tcPr>
          <w:p w14:paraId="2C04A105">
            <w:pPr>
              <w:pStyle w:val="61"/>
              <w:tabs>
                <w:tab w:val="left" w:pos="363"/>
              </w:tabs>
              <w:spacing w:before="2" w:line="237" w:lineRule="auto"/>
              <w:ind w:right="338"/>
              <w:jc w:val="center"/>
              <w:rPr>
                <w:rFonts w:eastAsiaTheme="minorHAnsi"/>
                <w:sz w:val="24"/>
                <w:szCs w:val="24"/>
              </w:rPr>
            </w:pPr>
            <w:r>
              <w:rPr>
                <w:rFonts w:eastAsiaTheme="minorHAnsi"/>
                <w:sz w:val="24"/>
                <w:szCs w:val="24"/>
              </w:rPr>
              <w:t>Baixo</w:t>
            </w:r>
          </w:p>
        </w:tc>
        <w:tc>
          <w:tcPr>
            <w:tcW w:w="567" w:type="dxa"/>
            <w:tcBorders>
              <w:top w:val="single" w:color="000000" w:sz="2" w:space="0"/>
              <w:left w:val="single" w:color="000000" w:sz="2" w:space="0"/>
              <w:bottom w:val="single" w:color="000000" w:sz="2" w:space="0"/>
              <w:right w:val="single" w:color="000000" w:sz="2" w:space="0"/>
            </w:tcBorders>
          </w:tcPr>
          <w:p w14:paraId="48A20DAA">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2" w:type="dxa"/>
            <w:tcBorders>
              <w:top w:val="single" w:color="000000" w:sz="2" w:space="0"/>
              <w:left w:val="single" w:color="000000" w:sz="2" w:space="0"/>
              <w:bottom w:val="single" w:color="000000" w:sz="2" w:space="0"/>
              <w:right w:val="single" w:color="000000" w:sz="2" w:space="0"/>
            </w:tcBorders>
          </w:tcPr>
          <w:p w14:paraId="0BF30C3A">
            <w:pPr>
              <w:pStyle w:val="61"/>
              <w:tabs>
                <w:tab w:val="left" w:pos="363"/>
              </w:tabs>
              <w:spacing w:before="2" w:line="237" w:lineRule="auto"/>
              <w:ind w:right="338"/>
              <w:jc w:val="center"/>
              <w:rPr>
                <w:rFonts w:eastAsiaTheme="minorHAnsi"/>
                <w:sz w:val="24"/>
                <w:szCs w:val="24"/>
              </w:rPr>
            </w:pPr>
            <w:r>
              <w:rPr>
                <w:rFonts w:eastAsiaTheme="minorHAnsi"/>
                <w:sz w:val="24"/>
                <w:szCs w:val="24"/>
              </w:rPr>
              <w:t>Médio</w:t>
            </w:r>
          </w:p>
        </w:tc>
        <w:tc>
          <w:tcPr>
            <w:tcW w:w="563" w:type="dxa"/>
            <w:tcBorders>
              <w:top w:val="single" w:color="000000" w:sz="2" w:space="0"/>
              <w:left w:val="single" w:color="000000" w:sz="2" w:space="0"/>
              <w:bottom w:val="single" w:color="000000" w:sz="2" w:space="0"/>
              <w:right w:val="single" w:color="000000" w:sz="2" w:space="0"/>
            </w:tcBorders>
          </w:tcPr>
          <w:p w14:paraId="0628BBE8">
            <w:pPr>
              <w:pStyle w:val="61"/>
              <w:tabs>
                <w:tab w:val="left" w:pos="363"/>
              </w:tabs>
              <w:spacing w:before="2" w:line="237" w:lineRule="auto"/>
              <w:ind w:right="338"/>
              <w:jc w:val="center"/>
              <w:rPr>
                <w:rFonts w:eastAsiaTheme="minorHAnsi"/>
                <w:sz w:val="24"/>
                <w:szCs w:val="24"/>
              </w:rPr>
            </w:pPr>
          </w:p>
        </w:tc>
        <w:tc>
          <w:tcPr>
            <w:tcW w:w="1712" w:type="dxa"/>
            <w:tcBorders>
              <w:top w:val="single" w:color="000000" w:sz="2" w:space="0"/>
              <w:left w:val="single" w:color="000000" w:sz="2" w:space="0"/>
              <w:bottom w:val="single" w:color="000000" w:sz="2" w:space="0"/>
              <w:right w:val="single" w:color="000000" w:sz="2" w:space="0"/>
            </w:tcBorders>
          </w:tcPr>
          <w:p w14:paraId="63BD548C">
            <w:pPr>
              <w:pStyle w:val="61"/>
              <w:tabs>
                <w:tab w:val="left" w:pos="363"/>
              </w:tabs>
              <w:spacing w:before="2" w:line="237" w:lineRule="auto"/>
              <w:ind w:right="338"/>
              <w:jc w:val="center"/>
              <w:rPr>
                <w:rFonts w:eastAsiaTheme="minorHAnsi"/>
                <w:sz w:val="24"/>
                <w:szCs w:val="24"/>
              </w:rPr>
            </w:pPr>
            <w:r>
              <w:rPr>
                <w:rFonts w:eastAsiaTheme="minorHAnsi"/>
                <w:sz w:val="24"/>
                <w:szCs w:val="24"/>
              </w:rPr>
              <w:t>Alto</w:t>
            </w:r>
          </w:p>
        </w:tc>
      </w:tr>
      <w:tr w14:paraId="0881E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649" w:type="dxa"/>
            <w:tcBorders>
              <w:top w:val="single" w:color="000000" w:sz="2" w:space="0"/>
              <w:left w:val="single" w:color="000000" w:sz="2" w:space="0"/>
              <w:bottom w:val="single" w:color="000000" w:sz="2" w:space="0"/>
              <w:right w:val="single" w:color="000000" w:sz="2" w:space="0"/>
            </w:tcBorders>
          </w:tcPr>
          <w:p w14:paraId="424EF1C3">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5158" w:type="dxa"/>
            <w:gridSpan w:val="4"/>
            <w:tcBorders>
              <w:top w:val="single" w:color="000000" w:sz="2" w:space="0"/>
              <w:left w:val="single" w:color="000000" w:sz="2" w:space="0"/>
              <w:bottom w:val="single" w:color="000000" w:sz="2" w:space="0"/>
              <w:right w:val="single" w:color="000000" w:sz="2" w:space="0"/>
            </w:tcBorders>
          </w:tcPr>
          <w:p w14:paraId="699DAC44">
            <w:pPr>
              <w:pStyle w:val="61"/>
              <w:tabs>
                <w:tab w:val="left" w:pos="363"/>
              </w:tabs>
              <w:spacing w:before="2" w:line="237" w:lineRule="auto"/>
              <w:ind w:right="338"/>
              <w:jc w:val="center"/>
              <w:rPr>
                <w:rFonts w:eastAsiaTheme="minorHAnsi"/>
                <w:sz w:val="24"/>
                <w:szCs w:val="24"/>
              </w:rPr>
            </w:pPr>
            <w:r>
              <w:rPr>
                <w:rFonts w:eastAsiaTheme="minorHAnsi"/>
                <w:sz w:val="24"/>
                <w:szCs w:val="24"/>
              </w:rPr>
              <w:t>Ação Preventiva</w:t>
            </w:r>
          </w:p>
        </w:tc>
        <w:tc>
          <w:tcPr>
            <w:tcW w:w="2275" w:type="dxa"/>
            <w:gridSpan w:val="2"/>
            <w:tcBorders>
              <w:top w:val="single" w:color="000000" w:sz="2" w:space="0"/>
              <w:left w:val="single" w:color="000000" w:sz="2" w:space="0"/>
              <w:bottom w:val="single" w:color="000000" w:sz="2" w:space="0"/>
              <w:right w:val="single" w:color="000000" w:sz="2" w:space="0"/>
            </w:tcBorders>
          </w:tcPr>
          <w:p w14:paraId="60E69228">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70FBF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649" w:type="dxa"/>
            <w:tcBorders>
              <w:top w:val="single" w:color="000000" w:sz="2" w:space="0"/>
              <w:left w:val="single" w:color="000000" w:sz="2" w:space="0"/>
              <w:right w:val="single" w:color="000000" w:sz="2" w:space="0"/>
            </w:tcBorders>
          </w:tcPr>
          <w:p w14:paraId="797FEC0F">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5158" w:type="dxa"/>
            <w:gridSpan w:val="4"/>
            <w:tcBorders>
              <w:top w:val="single" w:color="000000" w:sz="2" w:space="0"/>
              <w:left w:val="single" w:color="000000" w:sz="2" w:space="0"/>
              <w:right w:val="single" w:color="000000" w:sz="2" w:space="0"/>
            </w:tcBorders>
          </w:tcPr>
          <w:p w14:paraId="3B9003BF">
            <w:pPr>
              <w:pStyle w:val="61"/>
              <w:tabs>
                <w:tab w:val="left" w:pos="363"/>
              </w:tabs>
              <w:spacing w:before="2" w:line="237" w:lineRule="auto"/>
              <w:ind w:right="338"/>
              <w:jc w:val="center"/>
              <w:rPr>
                <w:rFonts w:eastAsiaTheme="minorHAnsi"/>
                <w:sz w:val="24"/>
                <w:szCs w:val="24"/>
              </w:rPr>
            </w:pPr>
            <w:r>
              <w:rPr>
                <w:rFonts w:eastAsiaTheme="minorHAnsi"/>
                <w:sz w:val="24"/>
                <w:szCs w:val="24"/>
              </w:rPr>
              <w:t>Critérios de qualificação econômica.</w:t>
            </w:r>
          </w:p>
        </w:tc>
        <w:tc>
          <w:tcPr>
            <w:tcW w:w="2275" w:type="dxa"/>
            <w:gridSpan w:val="2"/>
            <w:tcBorders>
              <w:top w:val="single" w:color="000000" w:sz="2" w:space="0"/>
              <w:left w:val="single" w:color="000000" w:sz="2" w:space="0"/>
              <w:right w:val="single" w:color="000000" w:sz="2" w:space="0"/>
            </w:tcBorders>
          </w:tcPr>
          <w:p w14:paraId="1EEC7973">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r w14:paraId="6E8B0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1649" w:type="dxa"/>
          </w:tcPr>
          <w:p w14:paraId="0DB4DDA8">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5158" w:type="dxa"/>
            <w:gridSpan w:val="4"/>
          </w:tcPr>
          <w:p w14:paraId="6EA81F2A">
            <w:pPr>
              <w:pStyle w:val="61"/>
              <w:tabs>
                <w:tab w:val="left" w:pos="363"/>
              </w:tabs>
              <w:spacing w:before="2" w:line="237" w:lineRule="auto"/>
              <w:ind w:right="338"/>
              <w:jc w:val="center"/>
              <w:rPr>
                <w:rFonts w:eastAsiaTheme="minorHAnsi"/>
                <w:sz w:val="24"/>
                <w:szCs w:val="24"/>
              </w:rPr>
            </w:pPr>
            <w:r>
              <w:rPr>
                <w:rFonts w:eastAsiaTheme="minorHAnsi"/>
                <w:sz w:val="24"/>
                <w:szCs w:val="24"/>
              </w:rPr>
              <w:t>Ação de Contingência</w:t>
            </w:r>
          </w:p>
        </w:tc>
        <w:tc>
          <w:tcPr>
            <w:tcW w:w="2275" w:type="dxa"/>
            <w:gridSpan w:val="2"/>
          </w:tcPr>
          <w:p w14:paraId="42C083BF">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75B01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649" w:type="dxa"/>
          </w:tcPr>
          <w:p w14:paraId="66E65F28">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5158" w:type="dxa"/>
            <w:gridSpan w:val="4"/>
          </w:tcPr>
          <w:p w14:paraId="2EDD670F">
            <w:pPr>
              <w:pStyle w:val="61"/>
              <w:tabs>
                <w:tab w:val="left" w:pos="363"/>
              </w:tabs>
              <w:spacing w:before="2" w:line="237" w:lineRule="auto"/>
              <w:ind w:right="338"/>
              <w:jc w:val="center"/>
              <w:rPr>
                <w:rFonts w:eastAsiaTheme="minorHAnsi"/>
                <w:sz w:val="24"/>
                <w:szCs w:val="24"/>
              </w:rPr>
            </w:pPr>
            <w:r>
              <w:rPr>
                <w:rFonts w:eastAsiaTheme="minorHAnsi"/>
                <w:sz w:val="24"/>
                <w:szCs w:val="24"/>
              </w:rPr>
              <w:t>Cobrar no momento da licitação os documentos</w:t>
            </w:r>
          </w:p>
          <w:p w14:paraId="7EC78901">
            <w:pPr>
              <w:pStyle w:val="61"/>
              <w:tabs>
                <w:tab w:val="left" w:pos="363"/>
              </w:tabs>
              <w:spacing w:before="2" w:line="237" w:lineRule="auto"/>
              <w:ind w:right="338"/>
              <w:jc w:val="center"/>
              <w:rPr>
                <w:rFonts w:eastAsiaTheme="minorHAnsi"/>
                <w:sz w:val="24"/>
                <w:szCs w:val="24"/>
              </w:rPr>
            </w:pPr>
            <w:r>
              <w:rPr>
                <w:rFonts w:eastAsiaTheme="minorHAnsi"/>
                <w:sz w:val="24"/>
                <w:szCs w:val="24"/>
              </w:rPr>
              <w:t>referentes à qualificação econômica e, após</w:t>
            </w:r>
          </w:p>
        </w:tc>
        <w:tc>
          <w:tcPr>
            <w:tcW w:w="2275" w:type="dxa"/>
            <w:gridSpan w:val="2"/>
          </w:tcPr>
          <w:p w14:paraId="47DFF468">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r w14:paraId="2BF94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649" w:type="dxa"/>
          </w:tcPr>
          <w:p w14:paraId="00353DB2">
            <w:pPr>
              <w:pStyle w:val="61"/>
              <w:tabs>
                <w:tab w:val="left" w:pos="363"/>
              </w:tabs>
              <w:spacing w:before="2" w:line="237" w:lineRule="auto"/>
              <w:ind w:right="338"/>
              <w:jc w:val="center"/>
              <w:rPr>
                <w:rFonts w:eastAsiaTheme="minorHAnsi"/>
                <w:sz w:val="24"/>
                <w:szCs w:val="24"/>
              </w:rPr>
            </w:pPr>
          </w:p>
        </w:tc>
        <w:tc>
          <w:tcPr>
            <w:tcW w:w="5158" w:type="dxa"/>
            <w:gridSpan w:val="4"/>
          </w:tcPr>
          <w:p w14:paraId="158C7F41">
            <w:pPr>
              <w:pStyle w:val="61"/>
              <w:tabs>
                <w:tab w:val="left" w:pos="363"/>
              </w:tabs>
              <w:spacing w:before="2" w:line="237" w:lineRule="auto"/>
              <w:ind w:right="338"/>
              <w:jc w:val="center"/>
              <w:rPr>
                <w:rFonts w:eastAsiaTheme="minorHAnsi"/>
                <w:sz w:val="24"/>
                <w:szCs w:val="24"/>
              </w:rPr>
            </w:pPr>
            <w:r>
              <w:rPr>
                <w:rFonts w:eastAsiaTheme="minorHAnsi"/>
                <w:sz w:val="24"/>
                <w:szCs w:val="24"/>
              </w:rPr>
              <w:t>assinatura do contrato.</w:t>
            </w:r>
          </w:p>
        </w:tc>
        <w:tc>
          <w:tcPr>
            <w:tcW w:w="2275" w:type="dxa"/>
            <w:gridSpan w:val="2"/>
          </w:tcPr>
          <w:p w14:paraId="49FA8CD2">
            <w:pPr>
              <w:pStyle w:val="61"/>
              <w:tabs>
                <w:tab w:val="left" w:pos="363"/>
              </w:tabs>
              <w:spacing w:before="2" w:line="237" w:lineRule="auto"/>
              <w:ind w:right="338"/>
              <w:jc w:val="center"/>
              <w:rPr>
                <w:rFonts w:eastAsiaTheme="minorHAnsi"/>
                <w:sz w:val="24"/>
                <w:szCs w:val="24"/>
              </w:rPr>
            </w:pPr>
          </w:p>
        </w:tc>
      </w:tr>
    </w:tbl>
    <w:p w14:paraId="1489DDC3">
      <w:pPr>
        <w:pStyle w:val="61"/>
        <w:tabs>
          <w:tab w:val="left" w:pos="363"/>
        </w:tabs>
        <w:spacing w:before="2" w:line="237" w:lineRule="auto"/>
        <w:ind w:left="0" w:right="338"/>
        <w:rPr>
          <w:rFonts w:eastAsiaTheme="minorHAnsi"/>
          <w:sz w:val="24"/>
          <w:szCs w:val="24"/>
        </w:rPr>
      </w:pPr>
    </w:p>
    <w:p w14:paraId="080D3CE3">
      <w:pPr>
        <w:pStyle w:val="61"/>
        <w:tabs>
          <w:tab w:val="left" w:pos="363"/>
        </w:tabs>
        <w:spacing w:before="2" w:line="237" w:lineRule="auto"/>
        <w:ind w:left="0" w:right="338"/>
        <w:jc w:val="center"/>
        <w:rPr>
          <w:rFonts w:eastAsiaTheme="minorHAnsi"/>
          <w:sz w:val="24"/>
          <w:szCs w:val="24"/>
        </w:rPr>
      </w:pPr>
      <w:r>
        <w:rPr>
          <w:rFonts w:eastAsiaTheme="minorHAnsi"/>
          <w:sz w:val="24"/>
          <w:szCs w:val="24"/>
        </w:rPr>
        <w:t>MAPA DE RISCO II</w:t>
      </w:r>
    </w:p>
    <w:p w14:paraId="7EE58908">
      <w:pPr>
        <w:pStyle w:val="61"/>
        <w:tabs>
          <w:tab w:val="left" w:pos="363"/>
        </w:tabs>
        <w:spacing w:before="2" w:line="237" w:lineRule="auto"/>
        <w:ind w:left="0" w:right="338"/>
        <w:jc w:val="center"/>
        <w:rPr>
          <w:rFonts w:eastAsiaTheme="minorHAnsi"/>
          <w:sz w:val="24"/>
          <w:szCs w:val="24"/>
        </w:rPr>
      </w:pPr>
      <w:r>
        <w:rPr>
          <w:rFonts w:eastAsiaTheme="minorHAnsi"/>
          <w:sz w:val="24"/>
          <w:szCs w:val="24"/>
        </w:rPr>
        <w:t>(Execução do Contrato)</w:t>
      </w:r>
    </w:p>
    <w:p w14:paraId="46C6FD6E">
      <w:pPr>
        <w:pStyle w:val="61"/>
        <w:tabs>
          <w:tab w:val="left" w:pos="363"/>
        </w:tabs>
        <w:spacing w:before="2" w:line="237" w:lineRule="auto"/>
        <w:ind w:left="0" w:right="338"/>
        <w:rPr>
          <w:rFonts w:eastAsiaTheme="minorHAnsi"/>
          <w:sz w:val="24"/>
          <w:szCs w:val="24"/>
        </w:rPr>
      </w:pPr>
    </w:p>
    <w:tbl>
      <w:tblPr>
        <w:tblStyle w:val="60"/>
        <w:tblW w:w="9079"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3"/>
        <w:gridCol w:w="504"/>
        <w:gridCol w:w="1700"/>
        <w:gridCol w:w="567"/>
        <w:gridCol w:w="569"/>
        <w:gridCol w:w="1133"/>
        <w:gridCol w:w="562"/>
        <w:gridCol w:w="1711"/>
      </w:tblGrid>
      <w:tr w14:paraId="3FB10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079" w:type="dxa"/>
            <w:gridSpan w:val="8"/>
            <w:shd w:val="clear" w:color="auto" w:fill="CCCCCC"/>
          </w:tcPr>
          <w:p w14:paraId="5AF532CF">
            <w:pPr>
              <w:pStyle w:val="61"/>
              <w:tabs>
                <w:tab w:val="left" w:pos="363"/>
              </w:tabs>
              <w:spacing w:before="2" w:line="237" w:lineRule="auto"/>
              <w:ind w:right="338"/>
              <w:jc w:val="center"/>
              <w:rPr>
                <w:rFonts w:eastAsiaTheme="minorHAnsi"/>
                <w:sz w:val="24"/>
                <w:szCs w:val="24"/>
              </w:rPr>
            </w:pPr>
            <w:r>
              <w:rPr>
                <w:rFonts w:eastAsiaTheme="minorHAnsi"/>
                <w:sz w:val="24"/>
                <w:szCs w:val="24"/>
              </w:rPr>
              <w:t>RISCO 01</w:t>
            </w:r>
          </w:p>
          <w:p w14:paraId="0BAB24D7">
            <w:pPr>
              <w:pStyle w:val="61"/>
              <w:tabs>
                <w:tab w:val="left" w:pos="363"/>
              </w:tabs>
              <w:spacing w:before="2" w:line="237" w:lineRule="auto"/>
              <w:ind w:right="338"/>
              <w:jc w:val="center"/>
              <w:rPr>
                <w:rFonts w:eastAsiaTheme="minorHAnsi"/>
                <w:sz w:val="24"/>
                <w:szCs w:val="24"/>
              </w:rPr>
            </w:pPr>
            <w:r>
              <w:rPr>
                <w:rFonts w:eastAsiaTheme="minorHAnsi"/>
                <w:sz w:val="24"/>
                <w:szCs w:val="24"/>
              </w:rPr>
              <w:t>Não conformidade da execução com as normas vigentes.</w:t>
            </w:r>
          </w:p>
        </w:tc>
      </w:tr>
      <w:tr w14:paraId="4A770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2333" w:type="dxa"/>
          </w:tcPr>
          <w:p w14:paraId="054C7D2A">
            <w:pPr>
              <w:pStyle w:val="61"/>
              <w:tabs>
                <w:tab w:val="left" w:pos="363"/>
              </w:tabs>
              <w:spacing w:before="2" w:line="237" w:lineRule="auto"/>
              <w:ind w:right="338"/>
              <w:jc w:val="center"/>
              <w:rPr>
                <w:rFonts w:eastAsiaTheme="minorHAnsi"/>
                <w:sz w:val="24"/>
                <w:szCs w:val="24"/>
              </w:rPr>
            </w:pPr>
            <w:r>
              <w:rPr>
                <w:rFonts w:eastAsiaTheme="minorHAnsi"/>
                <w:sz w:val="24"/>
                <w:szCs w:val="24"/>
              </w:rPr>
              <w:t>Probabilidade:</w:t>
            </w:r>
          </w:p>
        </w:tc>
        <w:tc>
          <w:tcPr>
            <w:tcW w:w="504" w:type="dxa"/>
          </w:tcPr>
          <w:p w14:paraId="626A7405">
            <w:pPr>
              <w:pStyle w:val="61"/>
              <w:tabs>
                <w:tab w:val="left" w:pos="363"/>
              </w:tabs>
              <w:spacing w:before="2" w:line="237" w:lineRule="auto"/>
              <w:ind w:right="338"/>
              <w:jc w:val="center"/>
              <w:rPr>
                <w:rFonts w:eastAsiaTheme="minorHAnsi"/>
                <w:sz w:val="24"/>
                <w:szCs w:val="24"/>
              </w:rPr>
            </w:pPr>
          </w:p>
        </w:tc>
        <w:tc>
          <w:tcPr>
            <w:tcW w:w="1700" w:type="dxa"/>
          </w:tcPr>
          <w:p w14:paraId="28F1D3C3">
            <w:pPr>
              <w:pStyle w:val="61"/>
              <w:tabs>
                <w:tab w:val="left" w:pos="363"/>
              </w:tabs>
              <w:spacing w:before="2" w:line="237" w:lineRule="auto"/>
              <w:ind w:right="338"/>
              <w:jc w:val="center"/>
              <w:rPr>
                <w:rFonts w:eastAsiaTheme="minorHAnsi"/>
                <w:sz w:val="24"/>
                <w:szCs w:val="24"/>
              </w:rPr>
            </w:pPr>
            <w:r>
              <w:rPr>
                <w:rFonts w:eastAsiaTheme="minorHAnsi"/>
                <w:sz w:val="24"/>
                <w:szCs w:val="24"/>
              </w:rPr>
              <w:t>Baixa</w:t>
            </w:r>
          </w:p>
        </w:tc>
        <w:tc>
          <w:tcPr>
            <w:tcW w:w="567" w:type="dxa"/>
          </w:tcPr>
          <w:p w14:paraId="6055A18D">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2" w:type="dxa"/>
            <w:gridSpan w:val="2"/>
          </w:tcPr>
          <w:p w14:paraId="50238386">
            <w:pPr>
              <w:pStyle w:val="61"/>
              <w:tabs>
                <w:tab w:val="left" w:pos="363"/>
              </w:tabs>
              <w:spacing w:before="2" w:line="237" w:lineRule="auto"/>
              <w:ind w:right="338"/>
              <w:jc w:val="center"/>
              <w:rPr>
                <w:rFonts w:eastAsiaTheme="minorHAnsi"/>
                <w:sz w:val="24"/>
                <w:szCs w:val="24"/>
              </w:rPr>
            </w:pPr>
            <w:r>
              <w:rPr>
                <w:rFonts w:eastAsiaTheme="minorHAnsi"/>
                <w:sz w:val="24"/>
                <w:szCs w:val="24"/>
              </w:rPr>
              <w:t>Média</w:t>
            </w:r>
          </w:p>
        </w:tc>
        <w:tc>
          <w:tcPr>
            <w:tcW w:w="562" w:type="dxa"/>
          </w:tcPr>
          <w:p w14:paraId="7D799BB2">
            <w:pPr>
              <w:pStyle w:val="61"/>
              <w:tabs>
                <w:tab w:val="left" w:pos="363"/>
              </w:tabs>
              <w:spacing w:before="2" w:line="237" w:lineRule="auto"/>
              <w:ind w:right="338"/>
              <w:jc w:val="center"/>
              <w:rPr>
                <w:rFonts w:eastAsiaTheme="minorHAnsi"/>
                <w:sz w:val="24"/>
                <w:szCs w:val="24"/>
              </w:rPr>
            </w:pPr>
          </w:p>
        </w:tc>
        <w:tc>
          <w:tcPr>
            <w:tcW w:w="1711" w:type="dxa"/>
          </w:tcPr>
          <w:p w14:paraId="3D56EAB5">
            <w:pPr>
              <w:pStyle w:val="61"/>
              <w:tabs>
                <w:tab w:val="left" w:pos="363"/>
              </w:tabs>
              <w:spacing w:before="2" w:line="237" w:lineRule="auto"/>
              <w:ind w:right="338"/>
              <w:jc w:val="center"/>
              <w:rPr>
                <w:rFonts w:eastAsiaTheme="minorHAnsi"/>
                <w:sz w:val="24"/>
                <w:szCs w:val="24"/>
              </w:rPr>
            </w:pPr>
            <w:r>
              <w:rPr>
                <w:rFonts w:eastAsiaTheme="minorHAnsi"/>
                <w:sz w:val="24"/>
                <w:szCs w:val="24"/>
              </w:rPr>
              <w:t>Alta</w:t>
            </w:r>
          </w:p>
        </w:tc>
      </w:tr>
      <w:tr w14:paraId="0B490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33" w:type="dxa"/>
          </w:tcPr>
          <w:p w14:paraId="52BE3AF5">
            <w:pPr>
              <w:pStyle w:val="61"/>
              <w:tabs>
                <w:tab w:val="left" w:pos="363"/>
              </w:tabs>
              <w:spacing w:before="2" w:line="237" w:lineRule="auto"/>
              <w:ind w:right="338"/>
              <w:jc w:val="center"/>
              <w:rPr>
                <w:rFonts w:eastAsiaTheme="minorHAnsi"/>
                <w:sz w:val="24"/>
                <w:szCs w:val="24"/>
              </w:rPr>
            </w:pPr>
            <w:r>
              <w:rPr>
                <w:rFonts w:eastAsiaTheme="minorHAnsi"/>
                <w:sz w:val="24"/>
                <w:szCs w:val="24"/>
              </w:rPr>
              <w:t>Impacto:</w:t>
            </w:r>
          </w:p>
        </w:tc>
        <w:tc>
          <w:tcPr>
            <w:tcW w:w="504" w:type="dxa"/>
          </w:tcPr>
          <w:p w14:paraId="66E8AC48">
            <w:pPr>
              <w:pStyle w:val="61"/>
              <w:tabs>
                <w:tab w:val="left" w:pos="363"/>
              </w:tabs>
              <w:spacing w:before="2" w:line="237" w:lineRule="auto"/>
              <w:ind w:right="338"/>
              <w:jc w:val="center"/>
              <w:rPr>
                <w:rFonts w:eastAsiaTheme="minorHAnsi"/>
                <w:sz w:val="24"/>
                <w:szCs w:val="24"/>
              </w:rPr>
            </w:pPr>
          </w:p>
        </w:tc>
        <w:tc>
          <w:tcPr>
            <w:tcW w:w="1700" w:type="dxa"/>
          </w:tcPr>
          <w:p w14:paraId="072639D9">
            <w:pPr>
              <w:pStyle w:val="61"/>
              <w:tabs>
                <w:tab w:val="left" w:pos="363"/>
              </w:tabs>
              <w:spacing w:before="2" w:line="237" w:lineRule="auto"/>
              <w:ind w:right="338"/>
              <w:jc w:val="center"/>
              <w:rPr>
                <w:rFonts w:eastAsiaTheme="minorHAnsi"/>
                <w:sz w:val="24"/>
                <w:szCs w:val="24"/>
              </w:rPr>
            </w:pPr>
            <w:r>
              <w:rPr>
                <w:rFonts w:eastAsiaTheme="minorHAnsi"/>
                <w:sz w:val="24"/>
                <w:szCs w:val="24"/>
              </w:rPr>
              <w:t>Baixo</w:t>
            </w:r>
          </w:p>
        </w:tc>
        <w:tc>
          <w:tcPr>
            <w:tcW w:w="567" w:type="dxa"/>
          </w:tcPr>
          <w:p w14:paraId="6085FEB1">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2" w:type="dxa"/>
            <w:gridSpan w:val="2"/>
          </w:tcPr>
          <w:p w14:paraId="0F88A35F">
            <w:pPr>
              <w:pStyle w:val="61"/>
              <w:tabs>
                <w:tab w:val="left" w:pos="363"/>
              </w:tabs>
              <w:spacing w:before="2" w:line="237" w:lineRule="auto"/>
              <w:ind w:right="338"/>
              <w:jc w:val="center"/>
              <w:rPr>
                <w:rFonts w:eastAsiaTheme="minorHAnsi"/>
                <w:sz w:val="24"/>
                <w:szCs w:val="24"/>
              </w:rPr>
            </w:pPr>
            <w:r>
              <w:rPr>
                <w:rFonts w:eastAsiaTheme="minorHAnsi"/>
                <w:sz w:val="24"/>
                <w:szCs w:val="24"/>
              </w:rPr>
              <w:t>Médio</w:t>
            </w:r>
          </w:p>
        </w:tc>
        <w:tc>
          <w:tcPr>
            <w:tcW w:w="562" w:type="dxa"/>
          </w:tcPr>
          <w:p w14:paraId="07F0298A">
            <w:pPr>
              <w:pStyle w:val="61"/>
              <w:tabs>
                <w:tab w:val="left" w:pos="363"/>
              </w:tabs>
              <w:spacing w:before="2" w:line="237" w:lineRule="auto"/>
              <w:ind w:right="338"/>
              <w:jc w:val="center"/>
              <w:rPr>
                <w:rFonts w:eastAsiaTheme="minorHAnsi"/>
                <w:sz w:val="24"/>
                <w:szCs w:val="24"/>
              </w:rPr>
            </w:pPr>
          </w:p>
        </w:tc>
        <w:tc>
          <w:tcPr>
            <w:tcW w:w="1711" w:type="dxa"/>
          </w:tcPr>
          <w:p w14:paraId="23764530">
            <w:pPr>
              <w:pStyle w:val="61"/>
              <w:tabs>
                <w:tab w:val="left" w:pos="363"/>
              </w:tabs>
              <w:spacing w:before="2" w:line="237" w:lineRule="auto"/>
              <w:ind w:right="338"/>
              <w:jc w:val="center"/>
              <w:rPr>
                <w:rFonts w:eastAsiaTheme="minorHAnsi"/>
                <w:sz w:val="24"/>
                <w:szCs w:val="24"/>
              </w:rPr>
            </w:pPr>
            <w:r>
              <w:rPr>
                <w:rFonts w:eastAsiaTheme="minorHAnsi"/>
                <w:sz w:val="24"/>
                <w:szCs w:val="24"/>
              </w:rPr>
              <w:t>Alto</w:t>
            </w:r>
          </w:p>
        </w:tc>
      </w:tr>
      <w:tr w14:paraId="4826E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2333" w:type="dxa"/>
          </w:tcPr>
          <w:p w14:paraId="0AFD4D70">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3340" w:type="dxa"/>
            <w:gridSpan w:val="4"/>
          </w:tcPr>
          <w:p w14:paraId="329088CC">
            <w:pPr>
              <w:pStyle w:val="61"/>
              <w:tabs>
                <w:tab w:val="left" w:pos="363"/>
              </w:tabs>
              <w:spacing w:before="2" w:line="237" w:lineRule="auto"/>
              <w:ind w:right="338"/>
              <w:jc w:val="center"/>
              <w:rPr>
                <w:rFonts w:eastAsiaTheme="minorHAnsi"/>
                <w:sz w:val="24"/>
                <w:szCs w:val="24"/>
              </w:rPr>
            </w:pPr>
            <w:r>
              <w:rPr>
                <w:rFonts w:eastAsiaTheme="minorHAnsi"/>
                <w:sz w:val="24"/>
                <w:szCs w:val="24"/>
              </w:rPr>
              <w:t>Ação Preventiva</w:t>
            </w:r>
          </w:p>
        </w:tc>
        <w:tc>
          <w:tcPr>
            <w:tcW w:w="3406" w:type="dxa"/>
            <w:gridSpan w:val="3"/>
          </w:tcPr>
          <w:p w14:paraId="6DDCBC0B">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4C7B9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333" w:type="dxa"/>
          </w:tcPr>
          <w:p w14:paraId="18406A9F">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3340" w:type="dxa"/>
            <w:gridSpan w:val="4"/>
          </w:tcPr>
          <w:p w14:paraId="7A472688">
            <w:pPr>
              <w:pStyle w:val="61"/>
              <w:tabs>
                <w:tab w:val="left" w:pos="363"/>
              </w:tabs>
              <w:spacing w:before="2" w:line="237" w:lineRule="auto"/>
              <w:ind w:right="338"/>
              <w:jc w:val="center"/>
              <w:rPr>
                <w:rFonts w:eastAsiaTheme="minorHAnsi"/>
                <w:sz w:val="24"/>
                <w:szCs w:val="24"/>
              </w:rPr>
            </w:pPr>
            <w:r>
              <w:rPr>
                <w:rFonts w:eastAsiaTheme="minorHAnsi"/>
                <w:sz w:val="24"/>
                <w:szCs w:val="24"/>
              </w:rPr>
              <w:t>Gerenciamento e Fiscalização.</w:t>
            </w:r>
          </w:p>
        </w:tc>
        <w:tc>
          <w:tcPr>
            <w:tcW w:w="3406" w:type="dxa"/>
            <w:gridSpan w:val="3"/>
          </w:tcPr>
          <w:p w14:paraId="169E2845">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r w14:paraId="4047D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2333" w:type="dxa"/>
          </w:tcPr>
          <w:p w14:paraId="3BA070F2">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3340" w:type="dxa"/>
            <w:gridSpan w:val="4"/>
          </w:tcPr>
          <w:p w14:paraId="1519BFAB">
            <w:pPr>
              <w:pStyle w:val="61"/>
              <w:tabs>
                <w:tab w:val="left" w:pos="363"/>
              </w:tabs>
              <w:spacing w:before="2" w:line="237" w:lineRule="auto"/>
              <w:ind w:right="338"/>
              <w:jc w:val="center"/>
              <w:rPr>
                <w:rFonts w:eastAsiaTheme="minorHAnsi"/>
                <w:sz w:val="24"/>
                <w:szCs w:val="24"/>
              </w:rPr>
            </w:pPr>
            <w:r>
              <w:rPr>
                <w:rFonts w:eastAsiaTheme="minorHAnsi"/>
                <w:sz w:val="24"/>
                <w:szCs w:val="24"/>
              </w:rPr>
              <w:t>Ação de Contingência</w:t>
            </w:r>
          </w:p>
        </w:tc>
        <w:tc>
          <w:tcPr>
            <w:tcW w:w="3406" w:type="dxa"/>
            <w:gridSpan w:val="3"/>
          </w:tcPr>
          <w:p w14:paraId="17DACF1A">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008CD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 w:hRule="atLeast"/>
        </w:trPr>
        <w:tc>
          <w:tcPr>
            <w:tcW w:w="2333" w:type="dxa"/>
            <w:tcBorders>
              <w:bottom w:val="single" w:color="000000" w:sz="4" w:space="0"/>
            </w:tcBorders>
          </w:tcPr>
          <w:p w14:paraId="1E752241">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3340" w:type="dxa"/>
            <w:gridSpan w:val="4"/>
            <w:tcBorders>
              <w:bottom w:val="single" w:color="000000" w:sz="4" w:space="0"/>
            </w:tcBorders>
          </w:tcPr>
          <w:p w14:paraId="0EAFC6E5">
            <w:pPr>
              <w:pStyle w:val="61"/>
              <w:tabs>
                <w:tab w:val="left" w:pos="363"/>
              </w:tabs>
              <w:spacing w:before="2" w:line="237" w:lineRule="auto"/>
              <w:ind w:right="338"/>
              <w:jc w:val="center"/>
              <w:rPr>
                <w:rFonts w:eastAsiaTheme="minorHAnsi"/>
                <w:sz w:val="24"/>
                <w:szCs w:val="24"/>
              </w:rPr>
            </w:pPr>
            <w:r>
              <w:rPr>
                <w:rFonts w:eastAsiaTheme="minorHAnsi"/>
                <w:sz w:val="24"/>
                <w:szCs w:val="24"/>
              </w:rPr>
              <w:t>Notificações Extrajudiciais</w:t>
            </w:r>
          </w:p>
        </w:tc>
        <w:tc>
          <w:tcPr>
            <w:tcW w:w="3406" w:type="dxa"/>
            <w:gridSpan w:val="3"/>
            <w:tcBorders>
              <w:bottom w:val="single" w:color="000000" w:sz="4" w:space="0"/>
            </w:tcBorders>
          </w:tcPr>
          <w:p w14:paraId="086E0A46">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bl>
    <w:p w14:paraId="35899FB2">
      <w:pPr>
        <w:tabs>
          <w:tab w:val="left" w:pos="363"/>
        </w:tabs>
        <w:spacing w:before="2" w:line="237" w:lineRule="auto"/>
        <w:ind w:right="338"/>
        <w:rPr>
          <w:sz w:val="24"/>
          <w:szCs w:val="24"/>
        </w:rPr>
      </w:pPr>
    </w:p>
    <w:tbl>
      <w:tblPr>
        <w:tblStyle w:val="60"/>
        <w:tblW w:w="9082" w:type="dxa"/>
        <w:tblInd w:w="-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9"/>
        <w:gridCol w:w="569"/>
        <w:gridCol w:w="1700"/>
        <w:gridCol w:w="567"/>
        <w:gridCol w:w="1702"/>
        <w:gridCol w:w="563"/>
        <w:gridCol w:w="1712"/>
      </w:tblGrid>
      <w:tr w14:paraId="5C215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082" w:type="dxa"/>
            <w:gridSpan w:val="7"/>
            <w:tcBorders>
              <w:left w:val="single" w:color="000000" w:sz="2" w:space="0"/>
              <w:bottom w:val="single" w:color="000000" w:sz="2" w:space="0"/>
              <w:right w:val="single" w:color="000000" w:sz="2" w:space="0"/>
            </w:tcBorders>
            <w:shd w:val="clear" w:color="auto" w:fill="CCCCCC"/>
          </w:tcPr>
          <w:p w14:paraId="7BC040CF">
            <w:pPr>
              <w:pStyle w:val="61"/>
              <w:tabs>
                <w:tab w:val="left" w:pos="363"/>
              </w:tabs>
              <w:spacing w:before="2" w:line="237" w:lineRule="auto"/>
              <w:ind w:right="338"/>
              <w:jc w:val="center"/>
              <w:rPr>
                <w:rFonts w:eastAsiaTheme="minorHAnsi"/>
                <w:sz w:val="24"/>
                <w:szCs w:val="24"/>
              </w:rPr>
            </w:pPr>
            <w:r>
              <w:rPr>
                <w:rFonts w:eastAsiaTheme="minorHAnsi"/>
                <w:sz w:val="24"/>
                <w:szCs w:val="24"/>
              </w:rPr>
              <w:t>RISCO 02</w:t>
            </w:r>
          </w:p>
          <w:p w14:paraId="19834601">
            <w:pPr>
              <w:pStyle w:val="61"/>
              <w:tabs>
                <w:tab w:val="left" w:pos="363"/>
              </w:tabs>
              <w:spacing w:before="2" w:line="237" w:lineRule="auto"/>
              <w:ind w:right="338"/>
              <w:jc w:val="center"/>
              <w:rPr>
                <w:rFonts w:eastAsiaTheme="minorHAnsi"/>
                <w:sz w:val="24"/>
                <w:szCs w:val="24"/>
              </w:rPr>
            </w:pPr>
            <w:r>
              <w:rPr>
                <w:rFonts w:eastAsiaTheme="minorHAnsi"/>
                <w:sz w:val="24"/>
                <w:szCs w:val="24"/>
              </w:rPr>
              <w:t>Atrasos na entrega e correções de projeto</w:t>
            </w:r>
          </w:p>
        </w:tc>
      </w:tr>
      <w:tr w14:paraId="1FE17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trPr>
        <w:tc>
          <w:tcPr>
            <w:tcW w:w="2269" w:type="dxa"/>
            <w:tcBorders>
              <w:top w:val="single" w:color="000000" w:sz="2" w:space="0"/>
              <w:left w:val="single" w:color="000000" w:sz="2" w:space="0"/>
              <w:bottom w:val="single" w:color="000000" w:sz="2" w:space="0"/>
              <w:right w:val="single" w:color="000000" w:sz="2" w:space="0"/>
            </w:tcBorders>
          </w:tcPr>
          <w:p w14:paraId="053244BF">
            <w:pPr>
              <w:pStyle w:val="61"/>
              <w:tabs>
                <w:tab w:val="left" w:pos="363"/>
              </w:tabs>
              <w:spacing w:before="2" w:line="237" w:lineRule="auto"/>
              <w:ind w:right="338"/>
              <w:jc w:val="center"/>
              <w:rPr>
                <w:rFonts w:eastAsiaTheme="minorHAnsi"/>
                <w:sz w:val="24"/>
                <w:szCs w:val="24"/>
              </w:rPr>
            </w:pPr>
            <w:r>
              <w:rPr>
                <w:rFonts w:eastAsiaTheme="minorHAnsi"/>
                <w:sz w:val="24"/>
                <w:szCs w:val="24"/>
              </w:rPr>
              <w:t>Probabilidade:</w:t>
            </w:r>
          </w:p>
        </w:tc>
        <w:tc>
          <w:tcPr>
            <w:tcW w:w="569" w:type="dxa"/>
            <w:tcBorders>
              <w:top w:val="single" w:color="000000" w:sz="2" w:space="0"/>
              <w:left w:val="single" w:color="000000" w:sz="2" w:space="0"/>
              <w:bottom w:val="single" w:color="000000" w:sz="2" w:space="0"/>
              <w:right w:val="single" w:color="000000" w:sz="2" w:space="0"/>
            </w:tcBorders>
          </w:tcPr>
          <w:p w14:paraId="7483FA1F">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0" w:type="dxa"/>
            <w:tcBorders>
              <w:top w:val="single" w:color="000000" w:sz="2" w:space="0"/>
              <w:left w:val="single" w:color="000000" w:sz="2" w:space="0"/>
              <w:bottom w:val="single" w:color="000000" w:sz="2" w:space="0"/>
              <w:right w:val="single" w:color="000000" w:sz="2" w:space="0"/>
            </w:tcBorders>
          </w:tcPr>
          <w:p w14:paraId="061F73F2">
            <w:pPr>
              <w:pStyle w:val="61"/>
              <w:tabs>
                <w:tab w:val="left" w:pos="363"/>
              </w:tabs>
              <w:spacing w:before="2" w:line="237" w:lineRule="auto"/>
              <w:ind w:right="338"/>
              <w:jc w:val="center"/>
              <w:rPr>
                <w:rFonts w:eastAsiaTheme="minorHAnsi"/>
                <w:sz w:val="24"/>
                <w:szCs w:val="24"/>
              </w:rPr>
            </w:pPr>
            <w:r>
              <w:rPr>
                <w:rFonts w:eastAsiaTheme="minorHAnsi"/>
                <w:sz w:val="24"/>
                <w:szCs w:val="24"/>
              </w:rPr>
              <w:t>Baixa</w:t>
            </w:r>
          </w:p>
        </w:tc>
        <w:tc>
          <w:tcPr>
            <w:tcW w:w="567" w:type="dxa"/>
            <w:tcBorders>
              <w:top w:val="single" w:color="000000" w:sz="2" w:space="0"/>
              <w:left w:val="single" w:color="000000" w:sz="2" w:space="0"/>
              <w:bottom w:val="single" w:color="000000" w:sz="2" w:space="0"/>
              <w:right w:val="single" w:color="000000" w:sz="2" w:space="0"/>
            </w:tcBorders>
          </w:tcPr>
          <w:p w14:paraId="7FAFC7FA">
            <w:pPr>
              <w:pStyle w:val="61"/>
              <w:tabs>
                <w:tab w:val="left" w:pos="363"/>
              </w:tabs>
              <w:spacing w:before="2" w:line="237" w:lineRule="auto"/>
              <w:ind w:right="338"/>
              <w:jc w:val="center"/>
              <w:rPr>
                <w:rFonts w:eastAsiaTheme="minorHAnsi"/>
                <w:sz w:val="24"/>
                <w:szCs w:val="24"/>
              </w:rPr>
            </w:pPr>
          </w:p>
        </w:tc>
        <w:tc>
          <w:tcPr>
            <w:tcW w:w="1702" w:type="dxa"/>
            <w:tcBorders>
              <w:top w:val="single" w:color="000000" w:sz="2" w:space="0"/>
              <w:left w:val="single" w:color="000000" w:sz="2" w:space="0"/>
              <w:bottom w:val="single" w:color="000000" w:sz="2" w:space="0"/>
              <w:right w:val="single" w:color="000000" w:sz="2" w:space="0"/>
            </w:tcBorders>
          </w:tcPr>
          <w:p w14:paraId="1597C373">
            <w:pPr>
              <w:pStyle w:val="61"/>
              <w:tabs>
                <w:tab w:val="left" w:pos="363"/>
              </w:tabs>
              <w:spacing w:before="2" w:line="237" w:lineRule="auto"/>
              <w:ind w:right="338"/>
              <w:jc w:val="center"/>
              <w:rPr>
                <w:rFonts w:eastAsiaTheme="minorHAnsi"/>
                <w:sz w:val="24"/>
                <w:szCs w:val="24"/>
              </w:rPr>
            </w:pPr>
            <w:r>
              <w:rPr>
                <w:rFonts w:eastAsiaTheme="minorHAnsi"/>
                <w:sz w:val="24"/>
                <w:szCs w:val="24"/>
              </w:rPr>
              <w:t>Média</w:t>
            </w:r>
          </w:p>
        </w:tc>
        <w:tc>
          <w:tcPr>
            <w:tcW w:w="563" w:type="dxa"/>
            <w:tcBorders>
              <w:top w:val="single" w:color="000000" w:sz="2" w:space="0"/>
              <w:left w:val="single" w:color="000000" w:sz="2" w:space="0"/>
              <w:bottom w:val="single" w:color="000000" w:sz="2" w:space="0"/>
              <w:right w:val="single" w:color="000000" w:sz="2" w:space="0"/>
            </w:tcBorders>
          </w:tcPr>
          <w:p w14:paraId="7A31CF8A">
            <w:pPr>
              <w:pStyle w:val="61"/>
              <w:tabs>
                <w:tab w:val="left" w:pos="363"/>
              </w:tabs>
              <w:spacing w:before="2" w:line="237" w:lineRule="auto"/>
              <w:ind w:right="338"/>
              <w:jc w:val="center"/>
              <w:rPr>
                <w:rFonts w:eastAsiaTheme="minorHAnsi"/>
                <w:sz w:val="24"/>
                <w:szCs w:val="24"/>
              </w:rPr>
            </w:pPr>
          </w:p>
        </w:tc>
        <w:tc>
          <w:tcPr>
            <w:tcW w:w="1712" w:type="dxa"/>
            <w:tcBorders>
              <w:top w:val="single" w:color="000000" w:sz="2" w:space="0"/>
              <w:left w:val="single" w:color="000000" w:sz="2" w:space="0"/>
              <w:bottom w:val="single" w:color="000000" w:sz="2" w:space="0"/>
              <w:right w:val="single" w:color="000000" w:sz="2" w:space="0"/>
            </w:tcBorders>
          </w:tcPr>
          <w:p w14:paraId="63F3ED3F">
            <w:pPr>
              <w:pStyle w:val="61"/>
              <w:tabs>
                <w:tab w:val="left" w:pos="363"/>
              </w:tabs>
              <w:spacing w:before="2" w:line="237" w:lineRule="auto"/>
              <w:ind w:right="338"/>
              <w:jc w:val="center"/>
              <w:rPr>
                <w:rFonts w:eastAsiaTheme="minorHAnsi"/>
                <w:sz w:val="24"/>
                <w:szCs w:val="24"/>
              </w:rPr>
            </w:pPr>
            <w:r>
              <w:rPr>
                <w:rFonts w:eastAsiaTheme="minorHAnsi"/>
                <w:sz w:val="24"/>
                <w:szCs w:val="24"/>
              </w:rPr>
              <w:t>Alta</w:t>
            </w:r>
          </w:p>
        </w:tc>
      </w:tr>
      <w:tr w14:paraId="18E0A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2269" w:type="dxa"/>
            <w:tcBorders>
              <w:top w:val="single" w:color="000000" w:sz="2" w:space="0"/>
              <w:left w:val="single" w:color="000000" w:sz="2" w:space="0"/>
              <w:bottom w:val="single" w:color="000000" w:sz="2" w:space="0"/>
              <w:right w:val="single" w:color="000000" w:sz="2" w:space="0"/>
            </w:tcBorders>
          </w:tcPr>
          <w:p w14:paraId="28987BC1">
            <w:pPr>
              <w:pStyle w:val="61"/>
              <w:tabs>
                <w:tab w:val="left" w:pos="363"/>
              </w:tabs>
              <w:spacing w:before="2" w:line="237" w:lineRule="auto"/>
              <w:ind w:right="338"/>
              <w:jc w:val="center"/>
              <w:rPr>
                <w:rFonts w:eastAsiaTheme="minorHAnsi"/>
                <w:sz w:val="24"/>
                <w:szCs w:val="24"/>
              </w:rPr>
            </w:pPr>
            <w:r>
              <w:rPr>
                <w:rFonts w:eastAsiaTheme="minorHAnsi"/>
                <w:sz w:val="24"/>
                <w:szCs w:val="24"/>
              </w:rPr>
              <w:t>Impacto:</w:t>
            </w:r>
          </w:p>
        </w:tc>
        <w:tc>
          <w:tcPr>
            <w:tcW w:w="569" w:type="dxa"/>
            <w:tcBorders>
              <w:top w:val="single" w:color="000000" w:sz="2" w:space="0"/>
              <w:left w:val="single" w:color="000000" w:sz="2" w:space="0"/>
              <w:bottom w:val="single" w:color="000000" w:sz="2" w:space="0"/>
              <w:right w:val="single" w:color="000000" w:sz="2" w:space="0"/>
            </w:tcBorders>
          </w:tcPr>
          <w:p w14:paraId="7CD0764C">
            <w:pPr>
              <w:pStyle w:val="61"/>
              <w:tabs>
                <w:tab w:val="left" w:pos="363"/>
              </w:tabs>
              <w:spacing w:before="2" w:line="237" w:lineRule="auto"/>
              <w:ind w:right="338"/>
              <w:jc w:val="center"/>
              <w:rPr>
                <w:rFonts w:eastAsiaTheme="minorHAnsi"/>
                <w:sz w:val="24"/>
                <w:szCs w:val="24"/>
              </w:rPr>
            </w:pPr>
          </w:p>
        </w:tc>
        <w:tc>
          <w:tcPr>
            <w:tcW w:w="1700" w:type="dxa"/>
            <w:tcBorders>
              <w:top w:val="single" w:color="000000" w:sz="2" w:space="0"/>
              <w:left w:val="single" w:color="000000" w:sz="2" w:space="0"/>
              <w:bottom w:val="single" w:color="000000" w:sz="2" w:space="0"/>
              <w:right w:val="single" w:color="000000" w:sz="2" w:space="0"/>
            </w:tcBorders>
          </w:tcPr>
          <w:p w14:paraId="645743FC">
            <w:pPr>
              <w:pStyle w:val="61"/>
              <w:tabs>
                <w:tab w:val="left" w:pos="363"/>
              </w:tabs>
              <w:spacing w:before="2" w:line="237" w:lineRule="auto"/>
              <w:ind w:right="338"/>
              <w:jc w:val="center"/>
              <w:rPr>
                <w:rFonts w:eastAsiaTheme="minorHAnsi"/>
                <w:sz w:val="24"/>
                <w:szCs w:val="24"/>
              </w:rPr>
            </w:pPr>
            <w:r>
              <w:rPr>
                <w:rFonts w:eastAsiaTheme="minorHAnsi"/>
                <w:sz w:val="24"/>
                <w:szCs w:val="24"/>
              </w:rPr>
              <w:t>Baixo</w:t>
            </w:r>
          </w:p>
        </w:tc>
        <w:tc>
          <w:tcPr>
            <w:tcW w:w="567" w:type="dxa"/>
            <w:tcBorders>
              <w:top w:val="single" w:color="000000" w:sz="2" w:space="0"/>
              <w:left w:val="single" w:color="000000" w:sz="2" w:space="0"/>
              <w:bottom w:val="single" w:color="000000" w:sz="2" w:space="0"/>
              <w:right w:val="single" w:color="000000" w:sz="2" w:space="0"/>
            </w:tcBorders>
          </w:tcPr>
          <w:p w14:paraId="02D7F67D">
            <w:pPr>
              <w:pStyle w:val="61"/>
              <w:tabs>
                <w:tab w:val="left" w:pos="363"/>
              </w:tabs>
              <w:spacing w:before="2" w:line="237" w:lineRule="auto"/>
              <w:ind w:right="338"/>
              <w:jc w:val="center"/>
              <w:rPr>
                <w:rFonts w:eastAsiaTheme="minorHAnsi"/>
                <w:sz w:val="24"/>
                <w:szCs w:val="24"/>
              </w:rPr>
            </w:pPr>
            <w:r>
              <w:rPr>
                <w:rFonts w:eastAsiaTheme="minorHAnsi"/>
                <w:sz w:val="24"/>
                <w:szCs w:val="24"/>
              </w:rPr>
              <w:t>X</w:t>
            </w:r>
          </w:p>
        </w:tc>
        <w:tc>
          <w:tcPr>
            <w:tcW w:w="1702" w:type="dxa"/>
            <w:tcBorders>
              <w:top w:val="single" w:color="000000" w:sz="2" w:space="0"/>
              <w:left w:val="single" w:color="000000" w:sz="2" w:space="0"/>
              <w:bottom w:val="single" w:color="000000" w:sz="2" w:space="0"/>
              <w:right w:val="single" w:color="000000" w:sz="2" w:space="0"/>
            </w:tcBorders>
          </w:tcPr>
          <w:p w14:paraId="3217C804">
            <w:pPr>
              <w:pStyle w:val="61"/>
              <w:tabs>
                <w:tab w:val="left" w:pos="363"/>
              </w:tabs>
              <w:spacing w:before="2" w:line="237" w:lineRule="auto"/>
              <w:ind w:right="338"/>
              <w:jc w:val="center"/>
              <w:rPr>
                <w:rFonts w:eastAsiaTheme="minorHAnsi"/>
                <w:sz w:val="24"/>
                <w:szCs w:val="24"/>
              </w:rPr>
            </w:pPr>
            <w:r>
              <w:rPr>
                <w:rFonts w:eastAsiaTheme="minorHAnsi"/>
                <w:sz w:val="24"/>
                <w:szCs w:val="24"/>
              </w:rPr>
              <w:t>Médio</w:t>
            </w:r>
          </w:p>
        </w:tc>
        <w:tc>
          <w:tcPr>
            <w:tcW w:w="563" w:type="dxa"/>
            <w:tcBorders>
              <w:top w:val="single" w:color="000000" w:sz="2" w:space="0"/>
              <w:left w:val="single" w:color="000000" w:sz="2" w:space="0"/>
              <w:bottom w:val="single" w:color="000000" w:sz="2" w:space="0"/>
              <w:right w:val="single" w:color="000000" w:sz="2" w:space="0"/>
            </w:tcBorders>
          </w:tcPr>
          <w:p w14:paraId="55611A8B">
            <w:pPr>
              <w:pStyle w:val="61"/>
              <w:tabs>
                <w:tab w:val="left" w:pos="363"/>
              </w:tabs>
              <w:spacing w:before="2" w:line="237" w:lineRule="auto"/>
              <w:ind w:right="338"/>
              <w:jc w:val="center"/>
              <w:rPr>
                <w:rFonts w:eastAsiaTheme="minorHAnsi"/>
                <w:sz w:val="24"/>
                <w:szCs w:val="24"/>
              </w:rPr>
            </w:pPr>
          </w:p>
        </w:tc>
        <w:tc>
          <w:tcPr>
            <w:tcW w:w="1712" w:type="dxa"/>
            <w:tcBorders>
              <w:top w:val="single" w:color="000000" w:sz="2" w:space="0"/>
              <w:left w:val="single" w:color="000000" w:sz="2" w:space="0"/>
              <w:bottom w:val="single" w:color="000000" w:sz="2" w:space="0"/>
              <w:right w:val="single" w:color="000000" w:sz="2" w:space="0"/>
            </w:tcBorders>
          </w:tcPr>
          <w:p w14:paraId="09443638">
            <w:pPr>
              <w:pStyle w:val="61"/>
              <w:tabs>
                <w:tab w:val="left" w:pos="363"/>
              </w:tabs>
              <w:spacing w:before="2" w:line="237" w:lineRule="auto"/>
              <w:ind w:right="338"/>
              <w:jc w:val="center"/>
              <w:rPr>
                <w:rFonts w:eastAsiaTheme="minorHAnsi"/>
                <w:sz w:val="24"/>
                <w:szCs w:val="24"/>
              </w:rPr>
            </w:pPr>
            <w:r>
              <w:rPr>
                <w:rFonts w:eastAsiaTheme="minorHAnsi"/>
                <w:sz w:val="24"/>
                <w:szCs w:val="24"/>
              </w:rPr>
              <w:t>Alto</w:t>
            </w:r>
          </w:p>
        </w:tc>
      </w:tr>
      <w:tr w14:paraId="5E455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269" w:type="dxa"/>
            <w:tcBorders>
              <w:top w:val="single" w:color="000000" w:sz="2" w:space="0"/>
              <w:left w:val="single" w:color="000000" w:sz="2" w:space="0"/>
              <w:bottom w:val="single" w:color="000000" w:sz="2" w:space="0"/>
              <w:right w:val="single" w:color="000000" w:sz="2" w:space="0"/>
            </w:tcBorders>
          </w:tcPr>
          <w:p w14:paraId="7EAC3678">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2836" w:type="dxa"/>
            <w:gridSpan w:val="3"/>
            <w:tcBorders>
              <w:top w:val="single" w:color="000000" w:sz="2" w:space="0"/>
              <w:left w:val="single" w:color="000000" w:sz="2" w:space="0"/>
              <w:bottom w:val="single" w:color="000000" w:sz="2" w:space="0"/>
              <w:right w:val="single" w:color="000000" w:sz="2" w:space="0"/>
            </w:tcBorders>
          </w:tcPr>
          <w:p w14:paraId="2FB2887D">
            <w:pPr>
              <w:pStyle w:val="61"/>
              <w:tabs>
                <w:tab w:val="left" w:pos="363"/>
              </w:tabs>
              <w:spacing w:before="2" w:line="237" w:lineRule="auto"/>
              <w:ind w:right="338"/>
              <w:jc w:val="center"/>
              <w:rPr>
                <w:rFonts w:eastAsiaTheme="minorHAnsi"/>
                <w:sz w:val="24"/>
                <w:szCs w:val="24"/>
              </w:rPr>
            </w:pPr>
            <w:r>
              <w:rPr>
                <w:rFonts w:eastAsiaTheme="minorHAnsi"/>
                <w:sz w:val="24"/>
                <w:szCs w:val="24"/>
              </w:rPr>
              <w:t>Ação Preventiva</w:t>
            </w:r>
          </w:p>
        </w:tc>
        <w:tc>
          <w:tcPr>
            <w:tcW w:w="3977" w:type="dxa"/>
            <w:gridSpan w:val="3"/>
            <w:tcBorders>
              <w:top w:val="single" w:color="000000" w:sz="2" w:space="0"/>
              <w:left w:val="single" w:color="000000" w:sz="2" w:space="0"/>
              <w:bottom w:val="single" w:color="000000" w:sz="2" w:space="0"/>
              <w:right w:val="single" w:color="000000" w:sz="2" w:space="0"/>
            </w:tcBorders>
          </w:tcPr>
          <w:p w14:paraId="6F2AF6A7">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5F150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2269" w:type="dxa"/>
            <w:tcBorders>
              <w:top w:val="single" w:color="000000" w:sz="2" w:space="0"/>
              <w:left w:val="single" w:color="000000" w:sz="2" w:space="0"/>
              <w:right w:val="single" w:color="000000" w:sz="2" w:space="0"/>
            </w:tcBorders>
          </w:tcPr>
          <w:p w14:paraId="26193DE6">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2836" w:type="dxa"/>
            <w:gridSpan w:val="3"/>
            <w:tcBorders>
              <w:top w:val="single" w:color="000000" w:sz="2" w:space="0"/>
              <w:left w:val="single" w:color="000000" w:sz="2" w:space="0"/>
              <w:right w:val="single" w:color="000000" w:sz="2" w:space="0"/>
            </w:tcBorders>
          </w:tcPr>
          <w:p w14:paraId="31685BC0">
            <w:pPr>
              <w:pStyle w:val="61"/>
              <w:tabs>
                <w:tab w:val="left" w:pos="363"/>
              </w:tabs>
              <w:spacing w:before="2" w:line="237" w:lineRule="auto"/>
              <w:ind w:right="338"/>
              <w:jc w:val="center"/>
              <w:rPr>
                <w:rFonts w:eastAsiaTheme="minorHAnsi"/>
                <w:sz w:val="24"/>
                <w:szCs w:val="24"/>
              </w:rPr>
            </w:pPr>
            <w:r>
              <w:rPr>
                <w:rFonts w:eastAsiaTheme="minorHAnsi"/>
                <w:sz w:val="24"/>
                <w:szCs w:val="24"/>
              </w:rPr>
              <w:t>Alertar a empresa a respeitar as cláusulas contratuais</w:t>
            </w:r>
          </w:p>
        </w:tc>
        <w:tc>
          <w:tcPr>
            <w:tcW w:w="3977" w:type="dxa"/>
            <w:gridSpan w:val="3"/>
            <w:tcBorders>
              <w:top w:val="single" w:color="000000" w:sz="2" w:space="0"/>
              <w:left w:val="single" w:color="000000" w:sz="2" w:space="0"/>
              <w:right w:val="single" w:color="000000" w:sz="2" w:space="0"/>
            </w:tcBorders>
          </w:tcPr>
          <w:p w14:paraId="0B949B43">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r w14:paraId="50CB0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2269" w:type="dxa"/>
          </w:tcPr>
          <w:p w14:paraId="452964A4">
            <w:pPr>
              <w:pStyle w:val="61"/>
              <w:tabs>
                <w:tab w:val="left" w:pos="363"/>
              </w:tabs>
              <w:spacing w:before="2" w:line="237" w:lineRule="auto"/>
              <w:ind w:right="338"/>
              <w:jc w:val="center"/>
              <w:rPr>
                <w:rFonts w:eastAsiaTheme="minorHAnsi"/>
                <w:sz w:val="24"/>
                <w:szCs w:val="24"/>
              </w:rPr>
            </w:pPr>
            <w:r>
              <w:rPr>
                <w:rFonts w:eastAsiaTheme="minorHAnsi"/>
                <w:sz w:val="24"/>
                <w:szCs w:val="24"/>
              </w:rPr>
              <w:t>Id.</w:t>
            </w:r>
          </w:p>
        </w:tc>
        <w:tc>
          <w:tcPr>
            <w:tcW w:w="2836" w:type="dxa"/>
            <w:gridSpan w:val="3"/>
          </w:tcPr>
          <w:p w14:paraId="6006C83C">
            <w:pPr>
              <w:pStyle w:val="61"/>
              <w:tabs>
                <w:tab w:val="left" w:pos="363"/>
              </w:tabs>
              <w:spacing w:before="2" w:line="237" w:lineRule="auto"/>
              <w:ind w:right="338"/>
              <w:jc w:val="center"/>
              <w:rPr>
                <w:rFonts w:eastAsiaTheme="minorHAnsi"/>
                <w:sz w:val="24"/>
                <w:szCs w:val="24"/>
              </w:rPr>
            </w:pPr>
            <w:r>
              <w:rPr>
                <w:rFonts w:eastAsiaTheme="minorHAnsi"/>
                <w:sz w:val="24"/>
                <w:szCs w:val="24"/>
              </w:rPr>
              <w:t>Ação de Contingência</w:t>
            </w:r>
          </w:p>
        </w:tc>
        <w:tc>
          <w:tcPr>
            <w:tcW w:w="3977" w:type="dxa"/>
            <w:gridSpan w:val="3"/>
          </w:tcPr>
          <w:p w14:paraId="7F3C8BC5">
            <w:pPr>
              <w:pStyle w:val="61"/>
              <w:tabs>
                <w:tab w:val="left" w:pos="363"/>
              </w:tabs>
              <w:spacing w:before="2" w:line="237" w:lineRule="auto"/>
              <w:ind w:right="338"/>
              <w:jc w:val="center"/>
              <w:rPr>
                <w:rFonts w:eastAsiaTheme="minorHAnsi"/>
                <w:sz w:val="24"/>
                <w:szCs w:val="24"/>
              </w:rPr>
            </w:pPr>
            <w:r>
              <w:rPr>
                <w:rFonts w:eastAsiaTheme="minorHAnsi"/>
                <w:sz w:val="24"/>
                <w:szCs w:val="24"/>
              </w:rPr>
              <w:t>Responsável</w:t>
            </w:r>
          </w:p>
        </w:tc>
      </w:tr>
      <w:tr w14:paraId="0A9A2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269" w:type="dxa"/>
          </w:tcPr>
          <w:p w14:paraId="18BC1D25">
            <w:pPr>
              <w:pStyle w:val="61"/>
              <w:tabs>
                <w:tab w:val="left" w:pos="363"/>
              </w:tabs>
              <w:spacing w:before="2" w:line="237" w:lineRule="auto"/>
              <w:ind w:right="338"/>
              <w:jc w:val="center"/>
              <w:rPr>
                <w:rFonts w:eastAsiaTheme="minorHAnsi"/>
                <w:sz w:val="24"/>
                <w:szCs w:val="24"/>
              </w:rPr>
            </w:pPr>
            <w:r>
              <w:rPr>
                <w:rFonts w:eastAsiaTheme="minorHAnsi"/>
                <w:sz w:val="24"/>
                <w:szCs w:val="24"/>
              </w:rPr>
              <w:t>1.</w:t>
            </w:r>
          </w:p>
        </w:tc>
        <w:tc>
          <w:tcPr>
            <w:tcW w:w="2836" w:type="dxa"/>
            <w:gridSpan w:val="3"/>
          </w:tcPr>
          <w:p w14:paraId="03B6D2A3">
            <w:pPr>
              <w:pStyle w:val="61"/>
              <w:tabs>
                <w:tab w:val="left" w:pos="363"/>
              </w:tabs>
              <w:spacing w:before="2" w:line="237" w:lineRule="auto"/>
              <w:ind w:right="338"/>
              <w:jc w:val="center"/>
              <w:rPr>
                <w:rFonts w:eastAsiaTheme="minorHAnsi"/>
                <w:sz w:val="24"/>
                <w:szCs w:val="24"/>
              </w:rPr>
            </w:pPr>
            <w:r>
              <w:rPr>
                <w:rFonts w:eastAsiaTheme="minorHAnsi"/>
                <w:sz w:val="24"/>
                <w:szCs w:val="24"/>
              </w:rPr>
              <w:t>Aplicar sanção</w:t>
            </w:r>
          </w:p>
        </w:tc>
        <w:tc>
          <w:tcPr>
            <w:tcW w:w="3977" w:type="dxa"/>
            <w:gridSpan w:val="3"/>
          </w:tcPr>
          <w:p w14:paraId="17BB618D">
            <w:pPr>
              <w:pStyle w:val="61"/>
              <w:tabs>
                <w:tab w:val="left" w:pos="363"/>
              </w:tabs>
              <w:spacing w:before="2" w:line="237" w:lineRule="auto"/>
              <w:ind w:right="338"/>
              <w:jc w:val="center"/>
              <w:rPr>
                <w:rFonts w:eastAsiaTheme="minorHAnsi"/>
                <w:sz w:val="24"/>
                <w:szCs w:val="24"/>
              </w:rPr>
            </w:pPr>
            <w:r>
              <w:rPr>
                <w:rFonts w:eastAsiaTheme="minorHAnsi"/>
                <w:sz w:val="24"/>
                <w:szCs w:val="24"/>
              </w:rPr>
              <w:t>PAULO EDUARDO DE OLIVEIRA LACERDA PAIVA</w:t>
            </w:r>
          </w:p>
        </w:tc>
      </w:tr>
    </w:tbl>
    <w:p w14:paraId="5740882F">
      <w:pPr>
        <w:pStyle w:val="61"/>
        <w:tabs>
          <w:tab w:val="left" w:pos="363"/>
        </w:tabs>
        <w:spacing w:before="2" w:line="237" w:lineRule="auto"/>
        <w:ind w:right="338"/>
        <w:rPr>
          <w:rFonts w:eastAsiaTheme="minorHAnsi"/>
          <w:sz w:val="24"/>
          <w:szCs w:val="24"/>
        </w:rPr>
      </w:pPr>
    </w:p>
    <w:p w14:paraId="61B56051">
      <w:pPr>
        <w:pStyle w:val="61"/>
        <w:tabs>
          <w:tab w:val="left" w:pos="363"/>
        </w:tabs>
        <w:spacing w:before="2" w:line="237" w:lineRule="auto"/>
        <w:ind w:right="338"/>
        <w:rPr>
          <w:rFonts w:eastAsiaTheme="minorHAnsi"/>
          <w:sz w:val="24"/>
          <w:szCs w:val="24"/>
        </w:rPr>
      </w:pPr>
    </w:p>
    <w:p w14:paraId="063CFD30">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10. DECLARAÇÃO E JUSTIFICATIVA DA VIABILIDADE DA AQUISIÇÃO</w:t>
      </w:r>
    </w:p>
    <w:p w14:paraId="6CC9D448">
      <w:pPr>
        <w:pStyle w:val="61"/>
        <w:tabs>
          <w:tab w:val="left" w:pos="363"/>
        </w:tabs>
        <w:spacing w:before="2" w:line="237" w:lineRule="auto"/>
        <w:ind w:right="338"/>
        <w:rPr>
          <w:rFonts w:eastAsiaTheme="minorHAnsi"/>
          <w:sz w:val="24"/>
          <w:szCs w:val="24"/>
        </w:rPr>
      </w:pPr>
    </w:p>
    <w:p w14:paraId="15E1B0B1">
      <w:pPr>
        <w:pStyle w:val="61"/>
        <w:tabs>
          <w:tab w:val="left" w:pos="363"/>
        </w:tabs>
        <w:spacing w:before="2" w:line="237" w:lineRule="auto"/>
        <w:ind w:right="338"/>
        <w:rPr>
          <w:rFonts w:eastAsiaTheme="minorHAnsi"/>
          <w:sz w:val="24"/>
          <w:szCs w:val="24"/>
        </w:rPr>
      </w:pPr>
      <w:r>
        <w:rPr>
          <w:rFonts w:eastAsiaTheme="minorHAnsi"/>
          <w:sz w:val="24"/>
          <w:szCs w:val="24"/>
        </w:rPr>
        <w:t>10.1- Diante de toda a análise desenvolvida no presente estudo técnico preliminar, a aquisição mostra-se viável em termos de disponibilidade de mercado, forma de fornecimento do objeto, competitividade do mercado, não sendo possível observar óbices ao prosseguimento da presente aquisição. Diante o exposto esta equipe de planejamento declara viável e razoável esta aquisição.</w:t>
      </w:r>
    </w:p>
    <w:p w14:paraId="0E442463">
      <w:pPr>
        <w:pStyle w:val="61"/>
        <w:tabs>
          <w:tab w:val="left" w:pos="363"/>
        </w:tabs>
        <w:spacing w:before="2" w:line="237" w:lineRule="auto"/>
        <w:ind w:right="338"/>
        <w:rPr>
          <w:rFonts w:eastAsiaTheme="minorHAnsi"/>
          <w:sz w:val="24"/>
          <w:szCs w:val="24"/>
        </w:rPr>
      </w:pPr>
    </w:p>
    <w:p w14:paraId="67349246">
      <w:pPr>
        <w:pStyle w:val="20"/>
        <w:ind w:left="5" w:right="109"/>
        <w:rPr>
          <w:rFonts w:ascii="Times New Roman" w:hAnsi="Times New Roman" w:cs="Times New Roman" w:eastAsiaTheme="minorHAnsi"/>
          <w:b/>
          <w:bCs/>
          <w:lang w:val="pt-BR"/>
        </w:rPr>
      </w:pPr>
      <w:r>
        <w:rPr>
          <w:rFonts w:ascii="Times New Roman" w:hAnsi="Times New Roman" w:cs="Times New Roman" w:eastAsiaTheme="minorHAnsi"/>
          <w:b/>
          <w:bCs/>
          <w:lang w:val="pt-BR"/>
        </w:rPr>
        <w:t xml:space="preserve">    11. PROVIDÊNCIAS A SEREM ADOTADAS PELA ADMINISTRAÇÃO PREVIAMENTE À      CELEBRAÇÃO</w:t>
      </w:r>
    </w:p>
    <w:p w14:paraId="66DC7CFD">
      <w:pPr>
        <w:pStyle w:val="61"/>
        <w:tabs>
          <w:tab w:val="left" w:pos="363"/>
        </w:tabs>
        <w:spacing w:before="2" w:line="237" w:lineRule="auto"/>
        <w:ind w:left="582" w:right="338"/>
        <w:rPr>
          <w:rFonts w:eastAsiaTheme="minorHAnsi"/>
          <w:sz w:val="24"/>
          <w:szCs w:val="24"/>
        </w:rPr>
      </w:pPr>
    </w:p>
    <w:p w14:paraId="33B3F5E4">
      <w:pPr>
        <w:pStyle w:val="61"/>
        <w:tabs>
          <w:tab w:val="left" w:pos="363"/>
        </w:tabs>
        <w:spacing w:before="2" w:line="237" w:lineRule="auto"/>
        <w:ind w:right="338"/>
        <w:rPr>
          <w:rFonts w:eastAsiaTheme="minorHAnsi"/>
          <w:sz w:val="24"/>
          <w:szCs w:val="24"/>
        </w:rPr>
      </w:pPr>
      <w:r>
        <w:rPr>
          <w:rFonts w:eastAsiaTheme="minorHAnsi"/>
          <w:sz w:val="24"/>
          <w:szCs w:val="24"/>
        </w:rPr>
        <w:t>11.1- Considerando que a Administração Pública deverá definir o objeto no TR com todos os seus elementos essenciais e acidentais, homenageando a qualidade, o benefício, a superioridade e, enfim, a vantagem que não é – em absoluto – sinônimo de menor valor, o edital deve prever mecanismo de obtenção de qualidade e estabelecer as exigências de qualificação técnica e econômico-financeira que sejam pertinentes e correlatas ao cumprimento das obrigações assumidas, acompanhando o mandamento constitucional estampado no inciso XXI do artigo 37 da Carta Maior.</w:t>
      </w:r>
    </w:p>
    <w:p w14:paraId="19ECE899">
      <w:pPr>
        <w:pStyle w:val="61"/>
        <w:tabs>
          <w:tab w:val="left" w:pos="363"/>
        </w:tabs>
        <w:spacing w:before="2" w:line="237" w:lineRule="auto"/>
        <w:ind w:right="338"/>
        <w:rPr>
          <w:rFonts w:eastAsiaTheme="minorHAnsi"/>
          <w:sz w:val="24"/>
          <w:szCs w:val="24"/>
        </w:rPr>
      </w:pPr>
    </w:p>
    <w:p w14:paraId="30A3F4F9">
      <w:pPr>
        <w:pStyle w:val="61"/>
        <w:tabs>
          <w:tab w:val="left" w:pos="363"/>
        </w:tabs>
        <w:spacing w:before="2" w:line="237" w:lineRule="auto"/>
        <w:ind w:right="338"/>
        <w:rPr>
          <w:rFonts w:eastAsiaTheme="minorHAnsi"/>
          <w:sz w:val="24"/>
          <w:szCs w:val="24"/>
        </w:rPr>
      </w:pPr>
      <w:r>
        <w:rPr>
          <w:rFonts w:eastAsiaTheme="minorHAnsi"/>
          <w:sz w:val="24"/>
          <w:szCs w:val="24"/>
        </w:rPr>
        <w:t>11.2- Serão estabelecidas premissas para a execução contratual, valorizando-se a qualidade e os demais objetivos que informam o processo de aquisição e demais informações como encargos, dotações orçamentárias e recursos, obrigações das partes, rescisão do contrato, penalidades, pagamentos e demais disposições gerais.</w:t>
      </w:r>
    </w:p>
    <w:p w14:paraId="1CF9C190">
      <w:pPr>
        <w:pStyle w:val="61"/>
        <w:tabs>
          <w:tab w:val="left" w:pos="363"/>
        </w:tabs>
        <w:spacing w:before="2" w:line="237" w:lineRule="auto"/>
        <w:ind w:right="338"/>
        <w:rPr>
          <w:rFonts w:eastAsiaTheme="minorHAnsi"/>
          <w:sz w:val="24"/>
          <w:szCs w:val="24"/>
        </w:rPr>
      </w:pPr>
    </w:p>
    <w:p w14:paraId="34836145">
      <w:pPr>
        <w:pStyle w:val="61"/>
        <w:tabs>
          <w:tab w:val="left" w:pos="363"/>
        </w:tabs>
        <w:spacing w:before="2" w:line="237" w:lineRule="auto"/>
        <w:ind w:right="338"/>
        <w:rPr>
          <w:rFonts w:eastAsiaTheme="minorHAnsi"/>
          <w:sz w:val="24"/>
          <w:szCs w:val="24"/>
        </w:rPr>
      </w:pPr>
      <w:r>
        <w:rPr>
          <w:rFonts w:eastAsiaTheme="minorHAnsi"/>
          <w:sz w:val="24"/>
          <w:szCs w:val="24"/>
        </w:rPr>
        <w:t>11.3- Os instrumentos que integrarão o procedimento deverão cuidar de temas indispensáveis a constar:</w:t>
      </w:r>
    </w:p>
    <w:p w14:paraId="2F375122">
      <w:pPr>
        <w:pStyle w:val="61"/>
        <w:tabs>
          <w:tab w:val="left" w:pos="363"/>
        </w:tabs>
        <w:spacing w:before="2" w:line="237" w:lineRule="auto"/>
        <w:ind w:right="338"/>
        <w:rPr>
          <w:rFonts w:eastAsiaTheme="minorHAnsi"/>
          <w:sz w:val="24"/>
          <w:szCs w:val="24"/>
        </w:rPr>
      </w:pPr>
    </w:p>
    <w:p w14:paraId="7830609C">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publicidade dos atos processuais: Os atos serão publicados nos termos da Lei 14.133/21.</w:t>
      </w:r>
    </w:p>
    <w:p w14:paraId="72F74A03">
      <w:pPr>
        <w:pStyle w:val="61"/>
        <w:tabs>
          <w:tab w:val="left" w:pos="363"/>
        </w:tabs>
        <w:spacing w:before="2" w:line="237" w:lineRule="auto"/>
        <w:ind w:right="338"/>
        <w:rPr>
          <w:rFonts w:eastAsiaTheme="minorHAnsi"/>
          <w:sz w:val="24"/>
          <w:szCs w:val="24"/>
        </w:rPr>
      </w:pPr>
    </w:p>
    <w:p w14:paraId="13DF5359">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fornecimento, recebimento e aceite do objeto: 30 (trinta) dias.</w:t>
      </w:r>
    </w:p>
    <w:p w14:paraId="798D335A">
      <w:pPr>
        <w:pStyle w:val="61"/>
        <w:tabs>
          <w:tab w:val="left" w:pos="363"/>
        </w:tabs>
        <w:spacing w:before="2" w:line="237" w:lineRule="auto"/>
        <w:ind w:right="338"/>
        <w:rPr>
          <w:rFonts w:eastAsiaTheme="minorHAnsi"/>
          <w:sz w:val="24"/>
          <w:szCs w:val="24"/>
        </w:rPr>
      </w:pPr>
    </w:p>
    <w:p w14:paraId="38F8027A">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forma de pagamento: no prazo de 30 (trinta) dias após emissão da nota fiscal</w:t>
      </w:r>
    </w:p>
    <w:p w14:paraId="1D83C2B0">
      <w:pPr>
        <w:pStyle w:val="61"/>
        <w:tabs>
          <w:tab w:val="left" w:pos="363"/>
        </w:tabs>
        <w:spacing w:before="2" w:line="237" w:lineRule="auto"/>
        <w:ind w:right="338"/>
        <w:rPr>
          <w:rFonts w:eastAsiaTheme="minorHAnsi"/>
          <w:sz w:val="24"/>
          <w:szCs w:val="24"/>
        </w:rPr>
      </w:pPr>
    </w:p>
    <w:p w14:paraId="62D08E89">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alterações de preços:</w:t>
      </w:r>
    </w:p>
    <w:p w14:paraId="75F90B3D">
      <w:pPr>
        <w:pStyle w:val="61"/>
        <w:tabs>
          <w:tab w:val="left" w:pos="363"/>
        </w:tabs>
        <w:spacing w:before="2" w:line="237" w:lineRule="auto"/>
        <w:ind w:right="338"/>
        <w:rPr>
          <w:rFonts w:eastAsiaTheme="minorHAnsi"/>
          <w:sz w:val="24"/>
          <w:szCs w:val="24"/>
        </w:rPr>
      </w:pPr>
    </w:p>
    <w:p w14:paraId="6E310B75">
      <w:pPr>
        <w:pStyle w:val="61"/>
        <w:widowControl w:val="0"/>
        <w:numPr>
          <w:ilvl w:val="0"/>
          <w:numId w:val="17"/>
        </w:numPr>
        <w:tabs>
          <w:tab w:val="left" w:pos="363"/>
        </w:tabs>
        <w:autoSpaceDE w:val="0"/>
        <w:autoSpaceDN w:val="0"/>
        <w:spacing w:before="2" w:line="237" w:lineRule="auto"/>
        <w:ind w:right="338" w:firstLine="0"/>
        <w:contextualSpacing w:val="0"/>
        <w:jc w:val="both"/>
        <w:rPr>
          <w:rFonts w:eastAsiaTheme="minorHAnsi"/>
          <w:sz w:val="24"/>
          <w:szCs w:val="24"/>
        </w:rPr>
      </w:pPr>
      <w:r>
        <w:rPr>
          <w:rFonts w:eastAsiaTheme="minorHAnsi"/>
          <w:sz w:val="24"/>
          <w:szCs w:val="24"/>
        </w:rPr>
        <w:t xml:space="preserve">As solicitações de reequilíbrio econômico financeiro deverão ser protocoladas na sede da Prefeitura Municipal de Valença ou encaminhadas via correio com Aviso de </w:t>
      </w:r>
    </w:p>
    <w:p w14:paraId="6A9181B6">
      <w:pPr>
        <w:pStyle w:val="61"/>
        <w:rPr>
          <w:rFonts w:eastAsiaTheme="minorHAnsi"/>
          <w:sz w:val="24"/>
          <w:szCs w:val="24"/>
        </w:rPr>
      </w:pPr>
    </w:p>
    <w:p w14:paraId="6B2A06D8">
      <w:pPr>
        <w:pStyle w:val="61"/>
        <w:tabs>
          <w:tab w:val="left" w:pos="363"/>
        </w:tabs>
        <w:spacing w:before="2" w:line="237" w:lineRule="auto"/>
        <w:ind w:right="338"/>
        <w:rPr>
          <w:rFonts w:eastAsiaTheme="minorHAnsi"/>
          <w:sz w:val="24"/>
          <w:szCs w:val="24"/>
        </w:rPr>
      </w:pPr>
      <w:r>
        <w:rPr>
          <w:rFonts w:eastAsiaTheme="minorHAnsi"/>
          <w:sz w:val="24"/>
          <w:szCs w:val="24"/>
        </w:rPr>
        <w:t>Recebimento, não sendo admitida nenhuma outra forma de apresentação.</w:t>
      </w:r>
    </w:p>
    <w:p w14:paraId="4655839B">
      <w:pPr>
        <w:pStyle w:val="61"/>
        <w:tabs>
          <w:tab w:val="left" w:pos="363"/>
        </w:tabs>
        <w:spacing w:before="2" w:line="237" w:lineRule="auto"/>
        <w:ind w:right="338"/>
        <w:rPr>
          <w:rFonts w:eastAsiaTheme="minorHAnsi"/>
          <w:sz w:val="24"/>
          <w:szCs w:val="24"/>
        </w:rPr>
      </w:pPr>
    </w:p>
    <w:p w14:paraId="59A6A3F4">
      <w:pPr>
        <w:pStyle w:val="61"/>
        <w:widowControl w:val="0"/>
        <w:numPr>
          <w:ilvl w:val="0"/>
          <w:numId w:val="17"/>
        </w:numPr>
        <w:tabs>
          <w:tab w:val="left" w:pos="363"/>
        </w:tabs>
        <w:autoSpaceDE w:val="0"/>
        <w:autoSpaceDN w:val="0"/>
        <w:spacing w:before="2" w:line="237" w:lineRule="auto"/>
        <w:ind w:right="338"/>
        <w:contextualSpacing w:val="0"/>
        <w:jc w:val="both"/>
        <w:rPr>
          <w:rFonts w:eastAsiaTheme="minorHAnsi"/>
          <w:sz w:val="24"/>
          <w:szCs w:val="24"/>
        </w:rPr>
      </w:pPr>
      <w:r>
        <w:rPr>
          <w:rFonts w:eastAsiaTheme="minorHAnsi"/>
          <w:sz w:val="24"/>
          <w:szCs w:val="24"/>
        </w:rPr>
        <w:t>A Administração Municipal terá o prazo de 10 (dez) dias para analisar e decidir sobre as solicitações de reequilíbrio econômico financeiro.</w:t>
      </w:r>
    </w:p>
    <w:p w14:paraId="68ECAEE4">
      <w:pPr>
        <w:pStyle w:val="61"/>
        <w:tabs>
          <w:tab w:val="left" w:pos="363"/>
        </w:tabs>
        <w:spacing w:before="2" w:line="237" w:lineRule="auto"/>
        <w:ind w:right="338"/>
        <w:rPr>
          <w:rFonts w:eastAsiaTheme="minorHAnsi"/>
          <w:sz w:val="24"/>
          <w:szCs w:val="24"/>
        </w:rPr>
      </w:pPr>
    </w:p>
    <w:tbl>
      <w:tblPr>
        <w:tblStyle w:val="60"/>
        <w:tblW w:w="0" w:type="auto"/>
        <w:tblInd w:w="2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58"/>
        <w:gridCol w:w="4518"/>
      </w:tblGrid>
      <w:tr w14:paraId="6BB18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4258" w:type="dxa"/>
            <w:tcBorders>
              <w:bottom w:val="single" w:color="FFFFFF" w:sz="24" w:space="0"/>
            </w:tcBorders>
            <w:shd w:val="clear" w:color="auto" w:fill="EDEDED"/>
          </w:tcPr>
          <w:p w14:paraId="5AFE4634">
            <w:pPr>
              <w:pStyle w:val="61"/>
              <w:tabs>
                <w:tab w:val="left" w:pos="363"/>
              </w:tabs>
              <w:spacing w:before="2" w:line="237" w:lineRule="auto"/>
              <w:ind w:right="338"/>
              <w:jc w:val="center"/>
              <w:rPr>
                <w:rFonts w:eastAsiaTheme="minorHAnsi"/>
                <w:sz w:val="24"/>
                <w:szCs w:val="24"/>
              </w:rPr>
            </w:pPr>
            <w:r>
              <w:rPr>
                <w:rFonts w:eastAsiaTheme="minorHAnsi"/>
                <w:sz w:val="24"/>
                <w:szCs w:val="24"/>
              </w:rPr>
              <w:t>INTEGRANTE TÉCNICO</w:t>
            </w:r>
          </w:p>
        </w:tc>
        <w:tc>
          <w:tcPr>
            <w:tcW w:w="4518" w:type="dxa"/>
            <w:tcBorders>
              <w:bottom w:val="single" w:color="FFFFFF" w:sz="24" w:space="0"/>
            </w:tcBorders>
            <w:shd w:val="clear" w:color="auto" w:fill="EDEDED"/>
          </w:tcPr>
          <w:p w14:paraId="67D82FE0">
            <w:pPr>
              <w:pStyle w:val="61"/>
              <w:tabs>
                <w:tab w:val="left" w:pos="363"/>
              </w:tabs>
              <w:spacing w:before="2" w:line="237" w:lineRule="auto"/>
              <w:ind w:right="338"/>
              <w:jc w:val="center"/>
              <w:rPr>
                <w:rFonts w:eastAsiaTheme="minorHAnsi"/>
                <w:sz w:val="24"/>
                <w:szCs w:val="24"/>
              </w:rPr>
            </w:pPr>
            <w:r>
              <w:rPr>
                <w:rFonts w:eastAsiaTheme="minorHAnsi"/>
                <w:sz w:val="24"/>
                <w:szCs w:val="24"/>
              </w:rPr>
              <w:t>INTEGRANTE REQUISITANTE</w:t>
            </w:r>
          </w:p>
        </w:tc>
      </w:tr>
      <w:tr w14:paraId="0FD1D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7" w:hRule="atLeast"/>
        </w:trPr>
        <w:tc>
          <w:tcPr>
            <w:tcW w:w="4258" w:type="dxa"/>
            <w:tcBorders>
              <w:top w:val="nil"/>
            </w:tcBorders>
            <w:shd w:val="clear" w:color="auto" w:fill="FFFFFF"/>
          </w:tcPr>
          <w:p w14:paraId="15D3382B">
            <w:pPr>
              <w:pStyle w:val="61"/>
              <w:tabs>
                <w:tab w:val="left" w:pos="363"/>
              </w:tabs>
              <w:spacing w:before="2" w:line="237" w:lineRule="auto"/>
              <w:ind w:right="338"/>
              <w:jc w:val="center"/>
              <w:rPr>
                <w:rFonts w:eastAsiaTheme="minorHAnsi"/>
                <w:sz w:val="24"/>
                <w:szCs w:val="24"/>
              </w:rPr>
            </w:pPr>
          </w:p>
          <w:p w14:paraId="631E9047">
            <w:pPr>
              <w:pStyle w:val="61"/>
              <w:tabs>
                <w:tab w:val="left" w:pos="363"/>
              </w:tabs>
              <w:spacing w:before="2" w:line="237" w:lineRule="auto"/>
              <w:ind w:right="338"/>
              <w:jc w:val="center"/>
              <w:rPr>
                <w:rFonts w:eastAsiaTheme="minorHAnsi"/>
                <w:sz w:val="24"/>
                <w:szCs w:val="24"/>
              </w:rPr>
            </w:pPr>
          </w:p>
          <w:p w14:paraId="2691D8A6">
            <w:pPr>
              <w:pStyle w:val="61"/>
              <w:tabs>
                <w:tab w:val="left" w:pos="363"/>
              </w:tabs>
              <w:spacing w:before="2" w:line="237" w:lineRule="auto"/>
              <w:ind w:right="338"/>
              <w:jc w:val="center"/>
              <w:rPr>
                <w:rFonts w:eastAsiaTheme="minorHAnsi"/>
                <w:sz w:val="24"/>
                <w:szCs w:val="24"/>
              </w:rPr>
            </w:pPr>
          </w:p>
          <w:p w14:paraId="44311E83">
            <w:pPr>
              <w:pStyle w:val="61"/>
              <w:tabs>
                <w:tab w:val="left" w:pos="363"/>
              </w:tabs>
              <w:spacing w:before="2" w:line="237" w:lineRule="auto"/>
              <w:ind w:right="338"/>
              <w:jc w:val="center"/>
              <w:rPr>
                <w:rFonts w:eastAsiaTheme="minorHAnsi"/>
                <w:sz w:val="24"/>
                <w:szCs w:val="24"/>
              </w:rPr>
            </w:pPr>
          </w:p>
          <w:p w14:paraId="2B6C6900">
            <w:pPr>
              <w:pStyle w:val="61"/>
              <w:tabs>
                <w:tab w:val="left" w:pos="363"/>
              </w:tabs>
              <w:spacing w:before="2" w:line="237" w:lineRule="auto"/>
              <w:ind w:right="338"/>
              <w:jc w:val="center"/>
              <w:rPr>
                <w:rFonts w:eastAsiaTheme="minorHAnsi"/>
                <w:sz w:val="24"/>
                <w:szCs w:val="24"/>
              </w:rPr>
            </w:pPr>
            <w:r>
              <w:rPr>
                <w:rFonts w:eastAsiaTheme="minorHAnsi"/>
                <w:sz w:val="24"/>
                <w:szCs w:val="24"/>
              </w:rPr>
              <mc:AlternateContent>
                <mc:Choice Requires="wpg">
                  <w:drawing>
                    <wp:anchor distT="0" distB="0" distL="0" distR="0" simplePos="0" relativeHeight="251665408" behindDoc="1" locked="0" layoutInCell="1" allowOverlap="1">
                      <wp:simplePos x="0" y="0"/>
                      <wp:positionH relativeFrom="column">
                        <wp:posOffset>34925</wp:posOffset>
                      </wp:positionH>
                      <wp:positionV relativeFrom="paragraph">
                        <wp:posOffset>-677545</wp:posOffset>
                      </wp:positionV>
                      <wp:extent cx="2668905" cy="1573530"/>
                      <wp:effectExtent l="0" t="0" r="0" b="0"/>
                      <wp:wrapNone/>
                      <wp:docPr id="21" name="Agrupar 10"/>
                      <wp:cNvGraphicFramePr/>
                      <a:graphic xmlns:a="http://schemas.openxmlformats.org/drawingml/2006/main">
                        <a:graphicData uri="http://schemas.microsoft.com/office/word/2010/wordprocessingGroup">
                          <wpg:wgp>
                            <wpg:cNvGrpSpPr/>
                            <wpg:grpSpPr>
                              <a:xfrm>
                                <a:off x="0" y="0"/>
                                <a:ext cx="2668905" cy="1573530"/>
                                <a:chOff x="0" y="0"/>
                                <a:chExt cx="2668905" cy="1573530"/>
                              </a:xfrm>
                            </wpg:grpSpPr>
                            <wps:wsp>
                              <wps:cNvPr id="22" name="Graphic 22"/>
                              <wps:cNvSpPr/>
                              <wps:spPr>
                                <a:xfrm>
                                  <a:off x="0" y="0"/>
                                  <a:ext cx="2668905" cy="1573530"/>
                                </a:xfrm>
                                <a:custGeom>
                                  <a:avLst/>
                                  <a:gdLst/>
                                  <a:ahLst/>
                                  <a:cxnLst/>
                                  <a:rect l="l" t="t" r="r" b="b"/>
                                  <a:pathLst>
                                    <a:path w="2668905" h="1573530">
                                      <a:moveTo>
                                        <a:pt x="2633726" y="0"/>
                                      </a:moveTo>
                                      <a:lnTo>
                                        <a:pt x="0" y="0"/>
                                      </a:lnTo>
                                      <a:lnTo>
                                        <a:pt x="0" y="173736"/>
                                      </a:lnTo>
                                      <a:lnTo>
                                        <a:pt x="0" y="348996"/>
                                      </a:lnTo>
                                      <a:lnTo>
                                        <a:pt x="0" y="1573022"/>
                                      </a:lnTo>
                                      <a:lnTo>
                                        <a:pt x="2633726" y="1573022"/>
                                      </a:lnTo>
                                      <a:lnTo>
                                        <a:pt x="2633726" y="173736"/>
                                      </a:lnTo>
                                      <a:lnTo>
                                        <a:pt x="2633726" y="0"/>
                                      </a:lnTo>
                                      <a:close/>
                                    </a:path>
                                    <a:path w="2668905" h="1573530">
                                      <a:moveTo>
                                        <a:pt x="2668841" y="0"/>
                                      </a:moveTo>
                                      <a:lnTo>
                                        <a:pt x="2633802" y="0"/>
                                      </a:lnTo>
                                      <a:lnTo>
                                        <a:pt x="2633802" y="1573022"/>
                                      </a:lnTo>
                                      <a:lnTo>
                                        <a:pt x="2668841" y="1573022"/>
                                      </a:lnTo>
                                      <a:lnTo>
                                        <a:pt x="2668841" y="0"/>
                                      </a:lnTo>
                                      <a:close/>
                                    </a:path>
                                  </a:pathLst>
                                </a:custGeom>
                                <a:solidFill>
                                  <a:srgbClr val="FFFFFF"/>
                                </a:solidFill>
                              </wps:spPr>
                              <wps:bodyPr wrap="square" lIns="0" tIns="0" rIns="0" bIns="0" rtlCol="0">
                                <a:noAutofit/>
                              </wps:bodyPr>
                            </wps:wsp>
                          </wpg:wgp>
                        </a:graphicData>
                      </a:graphic>
                    </wp:anchor>
                  </w:drawing>
                </mc:Choice>
                <mc:Fallback>
                  <w:pict>
                    <v:group id="Agrupar 10" o:spid="_x0000_s1026" o:spt="203" style="position:absolute;left:0pt;margin-left:2.75pt;margin-top:-53.35pt;height:123.9pt;width:210.15pt;z-index:-251651072;mso-width-relative:page;mso-height-relative:page;" coordsize="2668905,1573530" o:gfxdata="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L5Nj6raAAAACgEAAA8AAAAAAAAAAQAgAAAAIgAA&#10;AGRycy9kb3ducmV2LnhtbFBLAQIUABQAAAAIAIdO4kBbRB5jsQIAALQHAAAOAAAAAAAAAAEAIAAA&#10;ACkBAABkcnMvZTJvRG9jLnhtbFBLBQYAAAAABgAGAFkBAABMBgAAAAA=&#10;">
                      <o:lock v:ext="edit" aspectratio="f"/>
                      <v:shape id="Graphic 22" o:spid="_x0000_s1026" o:spt="100" style="position:absolute;left:0;top:0;height:1573530;width:2668905;" fillcolor="#FFFFFF" filled="t" stroked="f" coordsize="2668905,1573530" o:gfxdata="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za7evQAA&#10;ANsAAAAPAAAAAAAAAAEAIAAAACIAAABkcnMvZG93bnJldi54bWxQSwECFAAUAAAACACHTuJAMy8F&#10;njsAAAA5AAAAEAAAAAAAAAABACAAAAAMAQAAZHJzL3NoYXBleG1sLnhtbFBLBQYAAAAABgAGAFsB&#10;AAC2AwAAAAA=&#10;" path="m2633726,0l0,0,0,173736,0,348996,0,1573022,2633726,1573022,2633726,173736,2633726,0xem2668841,0l2633802,0,2633802,1573022,2668841,1573022,2668841,0xe">
                        <v:fill on="t" focussize="0,0"/>
                        <v:stroke on="f"/>
                        <v:imagedata o:title=""/>
                        <o:lock v:ext="edit" aspectratio="f"/>
                        <v:textbox inset="0mm,0mm,0mm,0mm"/>
                      </v:shape>
                    </v:group>
                  </w:pict>
                </mc:Fallback>
              </mc:AlternateContent>
            </w:r>
            <w:r>
              <w:rPr>
                <w:rFonts w:eastAsiaTheme="minorHAnsi"/>
                <w:sz w:val="24"/>
                <w:szCs w:val="24"/>
              </w:rPr>
              <mc:AlternateContent>
                <mc:Choice Requires="wpg">
                  <w:drawing>
                    <wp:inline distT="0" distB="0" distL="0" distR="0">
                      <wp:extent cx="2360295" cy="7620"/>
                      <wp:effectExtent l="9525" t="0" r="1905" b="1905"/>
                      <wp:docPr id="23" name="Agrupar 11"/>
                      <wp:cNvGraphicFramePr/>
                      <a:graphic xmlns:a="http://schemas.openxmlformats.org/drawingml/2006/main">
                        <a:graphicData uri="http://schemas.microsoft.com/office/word/2010/wordprocessingGroup">
                          <wpg:wgp>
                            <wpg:cNvGrpSpPr/>
                            <wpg:grpSpPr>
                              <a:xfrm>
                                <a:off x="0" y="0"/>
                                <a:ext cx="2360295" cy="7620"/>
                                <a:chOff x="0" y="0"/>
                                <a:chExt cx="2360295" cy="7620"/>
                              </a:xfrm>
                            </wpg:grpSpPr>
                            <wps:wsp>
                              <wps:cNvPr id="24" name="Graphic 24"/>
                              <wps:cNvSpPr/>
                              <wps:spPr>
                                <a:xfrm>
                                  <a:off x="0" y="3810"/>
                                  <a:ext cx="2360295" cy="1270"/>
                                </a:xfrm>
                                <a:custGeom>
                                  <a:avLst/>
                                  <a:gdLst/>
                                  <a:ahLst/>
                                  <a:cxnLst/>
                                  <a:rect l="l" t="t" r="r" b="b"/>
                                  <a:pathLst>
                                    <a:path w="2360295">
                                      <a:moveTo>
                                        <a:pt x="0" y="0"/>
                                      </a:moveTo>
                                      <a:lnTo>
                                        <a:pt x="2360074" y="0"/>
                                      </a:lnTo>
                                    </a:path>
                                  </a:pathLst>
                                </a:custGeom>
                                <a:ln w="7620">
                                  <a:solidFill>
                                    <a:srgbClr val="000000"/>
                                  </a:solidFill>
                                  <a:prstDash val="solid"/>
                                </a:ln>
                              </wps:spPr>
                              <wps:bodyPr wrap="square" lIns="0" tIns="0" rIns="0" bIns="0" rtlCol="0">
                                <a:noAutofit/>
                              </wps:bodyPr>
                            </wps:wsp>
                          </wpg:wgp>
                        </a:graphicData>
                      </a:graphic>
                    </wp:inline>
                  </w:drawing>
                </mc:Choice>
                <mc:Fallback>
                  <w:pict>
                    <v:group id="Agrupar 11" o:spid="_x0000_s1026" o:spt="203" style="height:0.6pt;width:185.85pt;" coordsize="2360295,7620" o:gfxdata="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c2i7g1AAAAAMBAAAPAAAAAAAAAAEAIAAAACIAAABkcnMvZG93bnJldi54bWxQSwECFAAU&#10;AAAACACHTuJAofXihmcCAACtBQAADgAAAAAAAAABACAAAAAjAQAAZHJzL2Uyb0RvYy54bWxQSwUG&#10;AAAAAAYABgBZAQAA/AUAAAAA&#10;">
                      <o:lock v:ext="edit" aspectratio="f"/>
                      <v:shape id="Graphic 24" o:spid="_x0000_s1026" o:spt="100" style="position:absolute;left:0;top:3810;height:1270;width:2360295;" filled="f" stroked="t" coordsize="2360295,1" o:gfxdata="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uCkXrsAAADb&#10;AAAADwAAAAAAAAABACAAAAAiAAAAZHJzL2Rvd25yZXYueG1sUEsBAhQAFAAAAAgAh07iQDMvBZ47&#10;AAAAOQAAABAAAAAAAAAAAQAgAAAACgEAAGRycy9zaGFwZXhtbC54bWxQSwUGAAAAAAYABgBbAQAA&#10;tAMAAAAA&#10;" path="m0,0l2360074,0e">
                        <v:fill on="f" focussize="0,0"/>
                        <v:stroke weight="0.6pt" color="#000000" joinstyle="round"/>
                        <v:imagedata o:title=""/>
                        <o:lock v:ext="edit" aspectratio="f"/>
                        <v:textbox inset="0mm,0mm,0mm,0mm"/>
                      </v:shape>
                      <w10:wrap type="none"/>
                      <w10:anchorlock/>
                    </v:group>
                  </w:pict>
                </mc:Fallback>
              </mc:AlternateContent>
            </w:r>
          </w:p>
          <w:p w14:paraId="7904DD91">
            <w:pPr>
              <w:pStyle w:val="61"/>
              <w:tabs>
                <w:tab w:val="left" w:pos="363"/>
              </w:tabs>
              <w:spacing w:before="2" w:line="237" w:lineRule="auto"/>
              <w:ind w:right="338"/>
              <w:jc w:val="center"/>
              <w:rPr>
                <w:rFonts w:eastAsiaTheme="minorHAnsi"/>
                <w:sz w:val="24"/>
                <w:szCs w:val="24"/>
              </w:rPr>
            </w:pPr>
            <w:r>
              <w:rPr>
                <w:rFonts w:eastAsiaTheme="minorHAnsi"/>
                <w:sz w:val="24"/>
                <w:szCs w:val="24"/>
              </w:rPr>
              <w:t>Valença -RJ, 07 de janeiro de 2026</w:t>
            </w:r>
          </w:p>
        </w:tc>
        <w:tc>
          <w:tcPr>
            <w:tcW w:w="4518" w:type="dxa"/>
            <w:tcBorders>
              <w:top w:val="single" w:color="EDEDED" w:sz="24" w:space="0"/>
            </w:tcBorders>
            <w:shd w:val="clear" w:color="auto" w:fill="FFFFFF"/>
          </w:tcPr>
          <w:p w14:paraId="4AB50933">
            <w:pPr>
              <w:pStyle w:val="61"/>
              <w:tabs>
                <w:tab w:val="left" w:pos="363"/>
              </w:tabs>
              <w:spacing w:before="2" w:line="237" w:lineRule="auto"/>
              <w:ind w:right="338"/>
              <w:jc w:val="center"/>
              <w:rPr>
                <w:rFonts w:eastAsiaTheme="minorHAnsi"/>
                <w:sz w:val="24"/>
                <w:szCs w:val="24"/>
              </w:rPr>
            </w:pPr>
          </w:p>
          <w:p w14:paraId="1E2EB761">
            <w:pPr>
              <w:pStyle w:val="61"/>
              <w:tabs>
                <w:tab w:val="left" w:pos="363"/>
              </w:tabs>
              <w:spacing w:before="2" w:line="237" w:lineRule="auto"/>
              <w:ind w:right="338"/>
              <w:jc w:val="center"/>
              <w:rPr>
                <w:rFonts w:eastAsiaTheme="minorHAnsi"/>
                <w:sz w:val="24"/>
                <w:szCs w:val="24"/>
              </w:rPr>
            </w:pPr>
          </w:p>
          <w:p w14:paraId="013DD384">
            <w:pPr>
              <w:pStyle w:val="61"/>
              <w:tabs>
                <w:tab w:val="left" w:pos="363"/>
              </w:tabs>
              <w:spacing w:before="2" w:line="237" w:lineRule="auto"/>
              <w:ind w:right="338"/>
              <w:jc w:val="center"/>
              <w:rPr>
                <w:rFonts w:eastAsiaTheme="minorHAnsi"/>
                <w:sz w:val="24"/>
                <w:szCs w:val="24"/>
              </w:rPr>
            </w:pPr>
          </w:p>
          <w:p w14:paraId="3BE8292C">
            <w:pPr>
              <w:pStyle w:val="61"/>
              <w:tabs>
                <w:tab w:val="left" w:pos="363"/>
              </w:tabs>
              <w:spacing w:before="2" w:line="237" w:lineRule="auto"/>
              <w:ind w:right="338"/>
              <w:jc w:val="center"/>
              <w:rPr>
                <w:rFonts w:eastAsiaTheme="minorHAnsi"/>
                <w:sz w:val="24"/>
                <w:szCs w:val="24"/>
              </w:rPr>
            </w:pPr>
          </w:p>
          <w:p w14:paraId="54805BFE">
            <w:pPr>
              <w:pStyle w:val="61"/>
              <w:tabs>
                <w:tab w:val="left" w:pos="363"/>
              </w:tabs>
              <w:spacing w:before="2" w:line="237" w:lineRule="auto"/>
              <w:ind w:right="338"/>
              <w:jc w:val="center"/>
              <w:rPr>
                <w:rFonts w:eastAsiaTheme="minorHAnsi"/>
                <w:sz w:val="24"/>
                <w:szCs w:val="24"/>
              </w:rPr>
            </w:pPr>
            <w:r>
              <w:rPr>
                <w:rFonts w:eastAsiaTheme="minorHAnsi"/>
                <w:sz w:val="24"/>
                <w:szCs w:val="24"/>
              </w:rPr>
              <mc:AlternateContent>
                <mc:Choice Requires="wpg">
                  <w:drawing>
                    <wp:inline distT="0" distB="0" distL="0" distR="0">
                      <wp:extent cx="2083435" cy="7620"/>
                      <wp:effectExtent l="9525" t="0" r="2539" b="1905"/>
                      <wp:docPr id="25" name="Agrupar 12"/>
                      <wp:cNvGraphicFramePr/>
                      <a:graphic xmlns:a="http://schemas.openxmlformats.org/drawingml/2006/main">
                        <a:graphicData uri="http://schemas.microsoft.com/office/word/2010/wordprocessingGroup">
                          <wpg:wgp>
                            <wpg:cNvGrpSpPr/>
                            <wpg:grpSpPr>
                              <a:xfrm>
                                <a:off x="0" y="0"/>
                                <a:ext cx="2083435" cy="7620"/>
                                <a:chOff x="0" y="0"/>
                                <a:chExt cx="2083435" cy="7620"/>
                              </a:xfrm>
                            </wpg:grpSpPr>
                            <wps:wsp>
                              <wps:cNvPr id="26" name="Graphic 26"/>
                              <wps:cNvSpPr/>
                              <wps:spPr>
                                <a:xfrm>
                                  <a:off x="0" y="3810"/>
                                  <a:ext cx="2083435" cy="1270"/>
                                </a:xfrm>
                                <a:custGeom>
                                  <a:avLst/>
                                  <a:gdLst/>
                                  <a:ahLst/>
                                  <a:cxnLst/>
                                  <a:rect l="l" t="t" r="r" b="b"/>
                                  <a:pathLst>
                                    <a:path w="2083435">
                                      <a:moveTo>
                                        <a:pt x="0" y="0"/>
                                      </a:moveTo>
                                      <a:lnTo>
                                        <a:pt x="2083011" y="0"/>
                                      </a:lnTo>
                                    </a:path>
                                  </a:pathLst>
                                </a:custGeom>
                                <a:ln w="7620">
                                  <a:solidFill>
                                    <a:srgbClr val="000000"/>
                                  </a:solidFill>
                                  <a:prstDash val="solid"/>
                                </a:ln>
                              </wps:spPr>
                              <wps:bodyPr wrap="square" lIns="0" tIns="0" rIns="0" bIns="0" rtlCol="0">
                                <a:noAutofit/>
                              </wps:bodyPr>
                            </wps:wsp>
                          </wpg:wgp>
                        </a:graphicData>
                      </a:graphic>
                    </wp:inline>
                  </w:drawing>
                </mc:Choice>
                <mc:Fallback>
                  <w:pict>
                    <v:group id="Agrupar 12" o:spid="_x0000_s1026" o:spt="203" style="height:0.6pt;width:164.05pt;" coordsize="2083435,7620" o:gfxdata="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M/DnHTUAAAAAwEAAA8AAAAAAAAAAQAgAAAAIgAAAGRycy9kb3ducmV2LnhtbFBLAQIUABQA&#10;AAAIAIdO4kBuohB3ZgIAAK0FAAAOAAAAAAAAAAEAIAAAACMBAABkcnMvZTJvRG9jLnhtbFBLBQYA&#10;AAAABgAGAFkBAAD7BQAAAAA=&#10;">
                      <o:lock v:ext="edit" aspectratio="f"/>
                      <v:shape id="Graphic 26" o:spid="_x0000_s1026" o:spt="100" style="position:absolute;left:0;top:3810;height:1270;width:2083435;" filled="f" stroked="t" coordsize="2083435,1" o:gfxdata="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Qzpa28AAAA&#10;2wAAAA8AAAAAAAAAAQAgAAAAIgAAAGRycy9kb3ducmV2LnhtbFBLAQIUABQAAAAIAIdO4kAzLwWe&#10;OwAAADkAAAAQAAAAAAAAAAEAIAAAAAsBAABkcnMvc2hhcGV4bWwueG1sUEsFBgAAAAAGAAYAWwEA&#10;ALUDAAAAAA==&#10;" path="m0,0l2083011,0e">
                        <v:fill on="f" focussize="0,0"/>
                        <v:stroke weight="0.6pt" color="#000000" joinstyle="round"/>
                        <v:imagedata o:title=""/>
                        <o:lock v:ext="edit" aspectratio="f"/>
                        <v:textbox inset="0mm,0mm,0mm,0mm"/>
                      </v:shape>
                      <w10:wrap type="none"/>
                      <w10:anchorlock/>
                    </v:group>
                  </w:pict>
                </mc:Fallback>
              </mc:AlternateContent>
            </w:r>
          </w:p>
          <w:p w14:paraId="5B5610DD">
            <w:pPr>
              <w:pStyle w:val="61"/>
              <w:tabs>
                <w:tab w:val="left" w:pos="363"/>
              </w:tabs>
              <w:spacing w:before="2" w:line="237" w:lineRule="auto"/>
              <w:ind w:right="338"/>
              <w:jc w:val="center"/>
              <w:rPr>
                <w:rFonts w:eastAsiaTheme="minorHAnsi"/>
                <w:sz w:val="24"/>
                <w:szCs w:val="24"/>
              </w:rPr>
            </w:pPr>
            <w:r>
              <w:rPr>
                <w:rFonts w:eastAsiaTheme="minorHAnsi"/>
                <w:sz w:val="24"/>
                <w:szCs w:val="24"/>
              </w:rPr>
              <w:t>Valença -RJ, 07 de janeiro de 2026</w:t>
            </w:r>
          </w:p>
        </w:tc>
      </w:tr>
    </w:tbl>
    <w:p w14:paraId="0013ACFD">
      <w:pPr>
        <w:pStyle w:val="61"/>
        <w:tabs>
          <w:tab w:val="left" w:pos="363"/>
        </w:tabs>
        <w:spacing w:before="2" w:line="237" w:lineRule="auto"/>
        <w:ind w:right="338"/>
        <w:rPr>
          <w:rFonts w:eastAsiaTheme="minorHAnsi"/>
          <w:sz w:val="24"/>
          <w:szCs w:val="24"/>
        </w:rPr>
      </w:pPr>
    </w:p>
    <w:p w14:paraId="0DE01172">
      <w:pPr>
        <w:pStyle w:val="61"/>
        <w:tabs>
          <w:tab w:val="left" w:pos="363"/>
        </w:tabs>
        <w:spacing w:before="2" w:line="237" w:lineRule="auto"/>
        <w:ind w:right="338"/>
        <w:rPr>
          <w:rFonts w:eastAsiaTheme="minorHAnsi"/>
          <w:sz w:val="24"/>
          <w:szCs w:val="24"/>
        </w:rPr>
      </w:pPr>
      <w:r>
        <w:rPr>
          <w:rFonts w:eastAsiaTheme="minorHAnsi"/>
          <w:sz w:val="24"/>
          <w:szCs w:val="24"/>
        </w:rPr>
        <w:t>Aprovo este Estudo Técnico Preliminar e atesto sua conformidade às disposições da Lei n° 14133/2021</w:t>
      </w:r>
    </w:p>
    <w:p w14:paraId="680A0A58">
      <w:pPr>
        <w:pStyle w:val="61"/>
        <w:tabs>
          <w:tab w:val="left" w:pos="363"/>
        </w:tabs>
        <w:spacing w:before="2" w:line="237" w:lineRule="auto"/>
        <w:ind w:right="338"/>
        <w:rPr>
          <w:rFonts w:eastAsiaTheme="minorHAnsi"/>
          <w:sz w:val="24"/>
          <w:szCs w:val="24"/>
        </w:rPr>
      </w:pPr>
    </w:p>
    <w:tbl>
      <w:tblPr>
        <w:tblStyle w:val="60"/>
        <w:tblW w:w="0" w:type="auto"/>
        <w:tblInd w:w="18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50"/>
      </w:tblGrid>
      <w:tr w14:paraId="646EB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750" w:type="dxa"/>
            <w:tcBorders>
              <w:bottom w:val="single" w:color="auto" w:sz="4" w:space="0"/>
            </w:tcBorders>
          </w:tcPr>
          <w:p w14:paraId="643BC7D9">
            <w:pPr>
              <w:pStyle w:val="61"/>
              <w:tabs>
                <w:tab w:val="left" w:pos="363"/>
              </w:tabs>
              <w:spacing w:before="2" w:line="237" w:lineRule="auto"/>
              <w:ind w:right="338"/>
              <w:jc w:val="center"/>
              <w:rPr>
                <w:rFonts w:eastAsiaTheme="minorHAnsi"/>
                <w:sz w:val="24"/>
                <w:szCs w:val="24"/>
              </w:rPr>
            </w:pPr>
            <w:r>
              <w:rPr>
                <w:rFonts w:eastAsiaTheme="minorHAnsi"/>
                <w:sz w:val="24"/>
                <w:szCs w:val="24"/>
              </w:rPr>
              <mc:AlternateContent>
                <mc:Choice Requires="wpg">
                  <w:drawing>
                    <wp:anchor distT="0" distB="0" distL="0" distR="0" simplePos="0" relativeHeight="251666432" behindDoc="1" locked="0" layoutInCell="1" allowOverlap="1">
                      <wp:simplePos x="0" y="0"/>
                      <wp:positionH relativeFrom="column">
                        <wp:posOffset>34925</wp:posOffset>
                      </wp:positionH>
                      <wp:positionV relativeFrom="paragraph">
                        <wp:posOffset>34290</wp:posOffset>
                      </wp:positionV>
                      <wp:extent cx="5502910" cy="175260"/>
                      <wp:effectExtent l="0" t="0" r="0" b="0"/>
                      <wp:wrapNone/>
                      <wp:docPr id="27" name="Agrupar 13"/>
                      <wp:cNvGraphicFramePr/>
                      <a:graphic xmlns:a="http://schemas.openxmlformats.org/drawingml/2006/main">
                        <a:graphicData uri="http://schemas.microsoft.com/office/word/2010/wordprocessingGroup">
                          <wpg:wgp>
                            <wpg:cNvGrpSpPr/>
                            <wpg:grpSpPr>
                              <a:xfrm>
                                <a:off x="0" y="0"/>
                                <a:ext cx="5502910" cy="175260"/>
                                <a:chOff x="0" y="0"/>
                                <a:chExt cx="5502910" cy="175260"/>
                              </a:xfrm>
                            </wpg:grpSpPr>
                            <wps:wsp>
                              <wps:cNvPr id="28" name="Graphic 28"/>
                              <wps:cNvSpPr/>
                              <wps:spPr>
                                <a:xfrm>
                                  <a:off x="0" y="0"/>
                                  <a:ext cx="5502910" cy="175260"/>
                                </a:xfrm>
                                <a:custGeom>
                                  <a:avLst/>
                                  <a:gdLst/>
                                  <a:ahLst/>
                                  <a:cxnLst/>
                                  <a:rect l="l" t="t" r="r" b="b"/>
                                  <a:pathLst>
                                    <a:path w="5502910" h="175260">
                                      <a:moveTo>
                                        <a:pt x="5502529" y="0"/>
                                      </a:moveTo>
                                      <a:lnTo>
                                        <a:pt x="0" y="0"/>
                                      </a:lnTo>
                                      <a:lnTo>
                                        <a:pt x="0" y="175260"/>
                                      </a:lnTo>
                                      <a:lnTo>
                                        <a:pt x="5502529" y="175260"/>
                                      </a:lnTo>
                                      <a:lnTo>
                                        <a:pt x="5502529" y="0"/>
                                      </a:lnTo>
                                      <a:close/>
                                    </a:path>
                                  </a:pathLst>
                                </a:custGeom>
                                <a:solidFill>
                                  <a:srgbClr val="EDEDED"/>
                                </a:solidFill>
                              </wps:spPr>
                              <wps:bodyPr wrap="square" lIns="0" tIns="0" rIns="0" bIns="0" rtlCol="0">
                                <a:noAutofit/>
                              </wps:bodyPr>
                            </wps:wsp>
                          </wpg:wgp>
                        </a:graphicData>
                      </a:graphic>
                    </wp:anchor>
                  </w:drawing>
                </mc:Choice>
                <mc:Fallback>
                  <w:pict>
                    <v:group id="Agrupar 13" o:spid="_x0000_s1026" o:spt="203" style="position:absolute;left:0pt;margin-left:2.75pt;margin-top:2.7pt;height:13.8pt;width:433.3pt;z-index:-251650048;mso-width-relative:page;mso-height-relative:page;" coordsize="5502910,175260" o:gfxdata="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zJf1fXAAAABgEAAA8AAAAAAAAAAQAgAAAAIgAAAGRycy9kb3ducmV2&#10;LnhtbFBLAQIUABQAAAAIAIdO4kDXd2KmbwIAABgGAAAOAAAAAAAAAAEAIAAAACYBAABkcnMvZTJv&#10;RG9jLnhtbFBLBQYAAAAABgAGAFkBAAAHBgAAAAA=&#10;">
                      <o:lock v:ext="edit" aspectratio="f"/>
                      <v:shape id="Graphic 28" o:spid="_x0000_s1026" o:spt="100" style="position:absolute;left:0;top:0;height:175260;width:5502910;" fillcolor="#EDEDED" filled="t" stroked="f" coordsize="5502910,175260" o:gfxdata="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19mqvQAA&#10;ANsAAAAPAAAAAAAAAAEAIAAAACIAAABkcnMvZG93bnJldi54bWxQSwECFAAUAAAACACHTuJAMy8F&#10;njsAAAA5AAAAEAAAAAAAAAABACAAAAAMAQAAZHJzL3NoYXBleG1sLnhtbFBLBQYAAAAABgAGAFsB&#10;AAC2AwAAAAA=&#10;" path="m5502529,0l0,0,0,175260,5502529,175260,5502529,0xe">
                        <v:fill on="t" focussize="0,0"/>
                        <v:stroke on="f"/>
                        <v:imagedata o:title=""/>
                        <o:lock v:ext="edit" aspectratio="f"/>
                        <v:textbox inset="0mm,0mm,0mm,0mm"/>
                      </v:shape>
                    </v:group>
                  </w:pict>
                </mc:Fallback>
              </mc:AlternateContent>
            </w:r>
            <w:r>
              <w:rPr>
                <w:rFonts w:eastAsiaTheme="minorHAnsi"/>
                <w:sz w:val="24"/>
                <w:szCs w:val="24"/>
              </w:rPr>
              <w:t>AUTORIDADE MÁXIMA DO ÓRGÃO REQUISITANTE</w:t>
            </w:r>
          </w:p>
        </w:tc>
      </w:tr>
      <w:tr w14:paraId="3828F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56" w:hRule="atLeast"/>
        </w:trPr>
        <w:tc>
          <w:tcPr>
            <w:tcW w:w="8750" w:type="dxa"/>
            <w:tcBorders>
              <w:top w:val="single" w:color="auto" w:sz="4" w:space="0"/>
              <w:left w:val="single" w:color="auto" w:sz="4" w:space="0"/>
              <w:bottom w:val="single" w:color="auto" w:sz="4" w:space="0"/>
              <w:right w:val="single" w:color="auto" w:sz="4" w:space="0"/>
            </w:tcBorders>
          </w:tcPr>
          <w:p w14:paraId="0766DB05">
            <w:pPr>
              <w:pStyle w:val="61"/>
              <w:tabs>
                <w:tab w:val="left" w:pos="363"/>
              </w:tabs>
              <w:spacing w:before="2" w:line="237" w:lineRule="auto"/>
              <w:ind w:right="338"/>
              <w:rPr>
                <w:rFonts w:eastAsiaTheme="minorHAnsi"/>
                <w:sz w:val="24"/>
                <w:szCs w:val="24"/>
              </w:rPr>
            </w:pPr>
          </w:p>
          <w:p w14:paraId="0FECF40F">
            <w:pPr>
              <w:pStyle w:val="61"/>
              <w:tabs>
                <w:tab w:val="left" w:pos="363"/>
              </w:tabs>
              <w:spacing w:before="2" w:line="237" w:lineRule="auto"/>
              <w:ind w:right="338"/>
              <w:rPr>
                <w:rFonts w:eastAsiaTheme="minorHAnsi"/>
                <w:sz w:val="24"/>
                <w:szCs w:val="24"/>
              </w:rPr>
            </w:pPr>
          </w:p>
          <w:p w14:paraId="105BA17E">
            <w:pPr>
              <w:pStyle w:val="61"/>
              <w:tabs>
                <w:tab w:val="left" w:pos="363"/>
              </w:tabs>
              <w:spacing w:before="2" w:line="237" w:lineRule="auto"/>
              <w:ind w:right="338"/>
              <w:rPr>
                <w:rFonts w:eastAsiaTheme="minorHAnsi"/>
                <w:sz w:val="24"/>
                <w:szCs w:val="24"/>
              </w:rPr>
            </w:pPr>
          </w:p>
          <w:p w14:paraId="264F2189">
            <w:pPr>
              <w:pStyle w:val="61"/>
              <w:tabs>
                <w:tab w:val="left" w:pos="363"/>
              </w:tabs>
              <w:spacing w:before="2" w:line="237" w:lineRule="auto"/>
              <w:ind w:right="338"/>
              <w:rPr>
                <w:rFonts w:eastAsiaTheme="minorHAnsi"/>
                <w:sz w:val="24"/>
                <w:szCs w:val="24"/>
              </w:rPr>
            </w:pPr>
          </w:p>
          <w:p w14:paraId="44C6588A">
            <w:pPr>
              <w:pStyle w:val="61"/>
              <w:tabs>
                <w:tab w:val="left" w:pos="363"/>
              </w:tabs>
              <w:spacing w:before="2" w:line="237" w:lineRule="auto"/>
              <w:ind w:right="338"/>
              <w:jc w:val="center"/>
              <w:rPr>
                <w:rFonts w:eastAsiaTheme="minorHAnsi"/>
                <w:sz w:val="24"/>
                <w:szCs w:val="24"/>
              </w:rPr>
            </w:pPr>
            <w:r>
              <w:rPr>
                <w:rFonts w:eastAsiaTheme="minorHAnsi"/>
                <w:sz w:val="24"/>
                <w:szCs w:val="24"/>
              </w:rPr>
              <mc:AlternateContent>
                <mc:Choice Requires="wpg">
                  <w:drawing>
                    <wp:inline distT="0" distB="0" distL="0" distR="0">
                      <wp:extent cx="1665605" cy="7620"/>
                      <wp:effectExtent l="9525" t="0" r="635" b="1905"/>
                      <wp:docPr id="29" name="Agrupar 14"/>
                      <wp:cNvGraphicFramePr/>
                      <a:graphic xmlns:a="http://schemas.openxmlformats.org/drawingml/2006/main">
                        <a:graphicData uri="http://schemas.microsoft.com/office/word/2010/wordprocessingGroup">
                          <wpg:wgp>
                            <wpg:cNvGrpSpPr/>
                            <wpg:grpSpPr>
                              <a:xfrm>
                                <a:off x="0" y="0"/>
                                <a:ext cx="1666239" cy="7620"/>
                                <a:chOff x="0" y="0"/>
                                <a:chExt cx="1666239" cy="7620"/>
                              </a:xfrm>
                            </wpg:grpSpPr>
                            <wps:wsp>
                              <wps:cNvPr id="30" name="Graphic 30"/>
                              <wps:cNvSpPr/>
                              <wps:spPr>
                                <a:xfrm>
                                  <a:off x="0" y="3810"/>
                                  <a:ext cx="1666239" cy="1270"/>
                                </a:xfrm>
                                <a:custGeom>
                                  <a:avLst/>
                                  <a:gdLst/>
                                  <a:ahLst/>
                                  <a:cxnLst/>
                                  <a:rect l="l" t="t" r="r" b="b"/>
                                  <a:pathLst>
                                    <a:path w="1666239">
                                      <a:moveTo>
                                        <a:pt x="0" y="0"/>
                                      </a:moveTo>
                                      <a:lnTo>
                                        <a:pt x="1666045" y="0"/>
                                      </a:lnTo>
                                    </a:path>
                                  </a:pathLst>
                                </a:custGeom>
                                <a:ln w="7620">
                                  <a:solidFill>
                                    <a:srgbClr val="000000"/>
                                  </a:solidFill>
                                  <a:prstDash val="solid"/>
                                </a:ln>
                              </wps:spPr>
                              <wps:bodyPr wrap="square" lIns="0" tIns="0" rIns="0" bIns="0" rtlCol="0">
                                <a:noAutofit/>
                              </wps:bodyPr>
                            </wps:wsp>
                          </wpg:wgp>
                        </a:graphicData>
                      </a:graphic>
                    </wp:inline>
                  </w:drawing>
                </mc:Choice>
                <mc:Fallback>
                  <w:pict>
                    <v:group id="Agrupar 14" o:spid="_x0000_s1026" o:spt="203" style="height:0.6pt;width:131.15pt;" coordsize="1666239,7620" o:gfxdata="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hFnBvUAAAAAwEAAA8AAAAAAAAAAQAgAAAAIgAAAGRycy9kb3ducmV2LnhtbFBLAQIU&#10;ABQAAAAIAIdO4kBQnY3TaQIAAK0FAAAOAAAAAAAAAAEAIAAAACMBAABkcnMvZTJvRG9jLnhtbFBL&#10;BQYAAAAABgAGAFkBAAD+BQAAAAA=&#10;">
                      <o:lock v:ext="edit" aspectratio="f"/>
                      <v:shape id="Graphic 30" o:spid="_x0000_s1026" o:spt="100" style="position:absolute;left:0;top:3810;height:1270;width:1666239;" filled="f" stroked="t" coordsize="1666239,1" o:gfxdata="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ASh68AAAA&#10;2wAAAA8AAAAAAAAAAQAgAAAAIgAAAGRycy9kb3ducmV2LnhtbFBLAQIUABQAAAAIAIdO4kAzLwWe&#10;OwAAADkAAAAQAAAAAAAAAAEAIAAAAAsBAABkcnMvc2hhcGV4bWwueG1sUEsFBgAAAAAGAAYAWwEA&#10;ALUDAAAAAA==&#10;" path="m0,0l1666045,0e">
                        <v:fill on="f" focussize="0,0"/>
                        <v:stroke weight="0.6pt" color="#000000" joinstyle="round"/>
                        <v:imagedata o:title=""/>
                        <o:lock v:ext="edit" aspectratio="f"/>
                        <v:textbox inset="0mm,0mm,0mm,0mm"/>
                      </v:shape>
                      <w10:wrap type="none"/>
                      <w10:anchorlock/>
                    </v:group>
                  </w:pict>
                </mc:Fallback>
              </mc:AlternateContent>
            </w:r>
          </w:p>
          <w:p w14:paraId="083F82D3">
            <w:pPr>
              <w:pStyle w:val="61"/>
              <w:tabs>
                <w:tab w:val="left" w:pos="363"/>
              </w:tabs>
              <w:spacing w:before="2" w:line="237" w:lineRule="auto"/>
              <w:ind w:right="338"/>
              <w:jc w:val="center"/>
              <w:rPr>
                <w:rFonts w:eastAsiaTheme="minorHAnsi"/>
                <w:sz w:val="24"/>
                <w:szCs w:val="24"/>
              </w:rPr>
            </w:pPr>
            <w:r>
              <w:rPr>
                <w:rFonts w:eastAsiaTheme="minorHAnsi"/>
                <w:sz w:val="24"/>
                <w:szCs w:val="24"/>
              </w:rPr>
              <w:t>RAFAEL DE OLIVEIRA TAVARES</w:t>
            </w:r>
          </w:p>
          <w:p w14:paraId="078A8038">
            <w:pPr>
              <w:pStyle w:val="61"/>
              <w:tabs>
                <w:tab w:val="left" w:pos="363"/>
              </w:tabs>
              <w:spacing w:before="2" w:line="237" w:lineRule="auto"/>
              <w:ind w:right="338"/>
              <w:jc w:val="center"/>
              <w:rPr>
                <w:rFonts w:eastAsiaTheme="minorHAnsi"/>
                <w:sz w:val="24"/>
                <w:szCs w:val="24"/>
              </w:rPr>
            </w:pPr>
            <w:r>
              <w:rPr>
                <w:rFonts w:eastAsiaTheme="minorHAnsi"/>
                <w:sz w:val="24"/>
                <w:szCs w:val="24"/>
              </w:rPr>
              <w:t>Secretário Municipal de Saúde</w:t>
            </w:r>
          </w:p>
          <w:p w14:paraId="67659439">
            <w:pPr>
              <w:pStyle w:val="61"/>
              <w:tabs>
                <w:tab w:val="left" w:pos="363"/>
              </w:tabs>
              <w:spacing w:before="2" w:line="237" w:lineRule="auto"/>
              <w:ind w:right="338"/>
              <w:jc w:val="center"/>
              <w:rPr>
                <w:rFonts w:eastAsiaTheme="minorHAnsi"/>
                <w:sz w:val="24"/>
                <w:szCs w:val="24"/>
              </w:rPr>
            </w:pPr>
            <w:r>
              <w:rPr>
                <w:rFonts w:eastAsiaTheme="minorHAnsi"/>
                <w:sz w:val="24"/>
                <w:szCs w:val="24"/>
              </w:rPr>
              <w:t>Valença -RJ, 07 de janeiro de 2026</w:t>
            </w:r>
          </w:p>
          <w:p w14:paraId="3EF42B2B">
            <w:pPr>
              <w:pStyle w:val="61"/>
              <w:tabs>
                <w:tab w:val="left" w:pos="363"/>
              </w:tabs>
              <w:spacing w:before="2" w:line="237" w:lineRule="auto"/>
              <w:ind w:right="338"/>
              <w:rPr>
                <w:rFonts w:eastAsiaTheme="minorHAnsi"/>
                <w:sz w:val="24"/>
                <w:szCs w:val="24"/>
              </w:rPr>
            </w:pPr>
          </w:p>
        </w:tc>
      </w:tr>
    </w:tbl>
    <w:p w14:paraId="158C38F9">
      <w:pPr>
        <w:pStyle w:val="61"/>
        <w:tabs>
          <w:tab w:val="left" w:pos="363"/>
        </w:tabs>
        <w:spacing w:before="2" w:line="237" w:lineRule="auto"/>
        <w:ind w:right="338"/>
        <w:rPr>
          <w:rFonts w:asciiTheme="minorHAnsi" w:hAnsiTheme="minorHAnsi" w:eastAsiaTheme="minorHAnsi" w:cstheme="minorBidi"/>
        </w:rPr>
      </w:pPr>
    </w:p>
    <w:p w14:paraId="3FA08A90">
      <w:pPr>
        <w:spacing w:before="288" w:beforeLines="120" w:after="288" w:afterLines="120" w:line="288" w:lineRule="auto"/>
        <w:contextualSpacing/>
        <w:jc w:val="center"/>
        <w:rPr>
          <w:rFonts w:eastAsia="MS Mincho"/>
          <w:b/>
          <w:sz w:val="24"/>
          <w:szCs w:val="24"/>
        </w:rPr>
      </w:pPr>
    </w:p>
    <w:p w14:paraId="5E3A0CD3">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2CA7C58E">
      <w:pPr>
        <w:spacing w:before="288" w:beforeLines="120" w:after="288" w:afterLines="120" w:line="288" w:lineRule="auto"/>
        <w:contextualSpacing/>
        <w:jc w:val="center"/>
        <w:rPr>
          <w:rFonts w:eastAsia="MS Mincho"/>
          <w:b/>
          <w:color w:val="FF0000"/>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r>
        <w:rPr>
          <w:rFonts w:eastAsia="MS Mincho"/>
          <w:b/>
          <w:sz w:val="24"/>
          <w:szCs w:val="24"/>
        </w:rPr>
        <w:t>– 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44"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44"/>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45"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5"/>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46"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46"/>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7" w:name="_Hlk154233180"/>
      <w:r>
        <w:rPr>
          <w:rFonts w:ascii="Times New Roman" w:hAnsi="Times New Roman" w:cs="Times New Roman"/>
          <w:color w:val="000000" w:themeColor="text1"/>
          <w:sz w:val="24"/>
          <w14:textFill>
            <w14:solidFill>
              <w14:schemeClr w14:val="tx1"/>
            </w14:solidFill>
          </w14:textFill>
        </w:rPr>
        <w:t xml:space="preserve">4.1 </w:t>
      </w:r>
      <w:bookmarkEnd w:id="47"/>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ANEXO V</w:t>
      </w:r>
    </w:p>
    <w:p w14:paraId="68BCF3B6">
      <w:pPr>
        <w:spacing w:line="368" w:lineRule="auto"/>
        <w:ind w:left="720" w:right="16"/>
        <w:jc w:val="center"/>
        <w:rPr>
          <w:b/>
          <w:u w:val="single"/>
        </w:rPr>
      </w:pPr>
    </w:p>
    <w:p w14:paraId="33DE6C5A">
      <w:pPr>
        <w:tabs>
          <w:tab w:val="left" w:pos="709"/>
        </w:tabs>
        <w:spacing w:before="120" w:after="120"/>
        <w:ind w:left="142"/>
        <w:jc w:val="center"/>
        <w:rPr>
          <w:b/>
          <w:sz w:val="24"/>
          <w:szCs w:val="24"/>
          <w:u w:val="single"/>
        </w:rPr>
      </w:pPr>
      <w:r>
        <w:rPr>
          <w:b/>
          <w:sz w:val="24"/>
          <w:szCs w:val="24"/>
          <w:u w:val="single"/>
        </w:rPr>
        <w:t>PLANILHA DE CUSTOS</w:t>
      </w:r>
    </w:p>
    <w:p w14:paraId="54C17752">
      <w:pPr>
        <w:tabs>
          <w:tab w:val="left" w:pos="709"/>
        </w:tabs>
        <w:spacing w:before="120" w:after="120"/>
        <w:ind w:left="142"/>
        <w:jc w:val="center"/>
        <w:rPr>
          <w:b/>
          <w:sz w:val="24"/>
          <w:szCs w:val="24"/>
          <w:u w:val="single"/>
        </w:rPr>
      </w:pPr>
    </w:p>
    <w:p w14:paraId="0C6AD77B">
      <w:pPr>
        <w:pStyle w:val="77"/>
        <w:jc w:val="both"/>
        <w:rPr>
          <w:rFonts w:eastAsia="SimSun"/>
          <w:sz w:val="20"/>
          <w:szCs w:val="20"/>
        </w:rPr>
      </w:pPr>
    </w:p>
    <w:p w14:paraId="79D937B0">
      <w:pPr>
        <w:pStyle w:val="77"/>
        <w:jc w:val="both"/>
        <w:rPr>
          <w:rFonts w:ascii="Times New Roman" w:hAnsi="Times New Roman" w:eastAsia="SimSun" w:cs="Times New Roman"/>
          <w:sz w:val="24"/>
          <w:szCs w:val="24"/>
        </w:rPr>
      </w:pPr>
    </w:p>
    <w:tbl>
      <w:tblPr>
        <w:tblStyle w:val="10"/>
        <w:tblW w:w="10203" w:type="dxa"/>
        <w:jc w:val="center"/>
        <w:tblLayout w:type="fixed"/>
        <w:tblCellMar>
          <w:top w:w="0" w:type="dxa"/>
          <w:left w:w="108" w:type="dxa"/>
          <w:bottom w:w="0" w:type="dxa"/>
          <w:right w:w="108" w:type="dxa"/>
        </w:tblCellMar>
      </w:tblPr>
      <w:tblGrid>
        <w:gridCol w:w="706"/>
        <w:gridCol w:w="992"/>
        <w:gridCol w:w="1988"/>
        <w:gridCol w:w="1131"/>
        <w:gridCol w:w="1276"/>
        <w:gridCol w:w="1275"/>
        <w:gridCol w:w="1283"/>
        <w:gridCol w:w="1552"/>
      </w:tblGrid>
      <w:tr w14:paraId="6F248105">
        <w:trPr>
          <w:trHeight w:val="300" w:hRule="atLeast"/>
          <w:jc w:val="center"/>
        </w:trPr>
        <w:tc>
          <w:tcPr>
            <w:tcW w:w="70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D3A4902">
            <w:pPr>
              <w:jc w:val="center"/>
              <w:textAlignment w:val="bottom"/>
              <w:rPr>
                <w:rFonts w:eastAsia="SimSun"/>
                <w:b/>
                <w:color w:val="000000"/>
                <w:sz w:val="22"/>
                <w:szCs w:val="22"/>
                <w:lang w:eastAsia="zh-CN" w:bidi="ar"/>
              </w:rPr>
            </w:pPr>
            <w:r>
              <w:rPr>
                <w:rFonts w:eastAsia="SimSun"/>
                <w:b/>
                <w:color w:val="000000"/>
                <w:sz w:val="22"/>
                <w:szCs w:val="22"/>
                <w:lang w:eastAsia="zh-CN" w:bidi="ar"/>
              </w:rPr>
              <w:t>Item</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0FA51F">
            <w:pPr>
              <w:jc w:val="center"/>
              <w:textAlignment w:val="bottom"/>
              <w:rPr>
                <w:rFonts w:eastAsia="SimSun"/>
                <w:b/>
                <w:color w:val="000000"/>
                <w:sz w:val="22"/>
                <w:szCs w:val="22"/>
                <w:lang w:eastAsia="zh-CN" w:bidi="ar"/>
              </w:rPr>
            </w:pPr>
            <w:r>
              <w:rPr>
                <w:rFonts w:eastAsia="SimSun"/>
                <w:b/>
                <w:color w:val="000000"/>
                <w:sz w:val="22"/>
                <w:szCs w:val="22"/>
                <w:lang w:eastAsia="zh-CN" w:bidi="ar"/>
              </w:rPr>
              <w:t>Quant.</w:t>
            </w:r>
          </w:p>
        </w:tc>
        <w:tc>
          <w:tcPr>
            <w:tcW w:w="198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33E7678">
            <w:pPr>
              <w:jc w:val="center"/>
              <w:textAlignment w:val="bottom"/>
              <w:rPr>
                <w:rFonts w:eastAsia="SimSun"/>
                <w:b/>
                <w:color w:val="000000"/>
                <w:sz w:val="22"/>
                <w:szCs w:val="22"/>
                <w:lang w:eastAsia="zh-CN" w:bidi="ar"/>
              </w:rPr>
            </w:pPr>
            <w:r>
              <w:rPr>
                <w:rFonts w:eastAsia="SimSun"/>
                <w:b/>
                <w:color w:val="000000"/>
                <w:sz w:val="22"/>
                <w:szCs w:val="22"/>
                <w:lang w:eastAsia="zh-CN" w:bidi="ar"/>
              </w:rPr>
              <w:t>Descrição</w:t>
            </w:r>
          </w:p>
        </w:tc>
        <w:tc>
          <w:tcPr>
            <w:tcW w:w="113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E53BC20">
            <w:pPr>
              <w:jc w:val="center"/>
              <w:textAlignment w:val="bottom"/>
              <w:rPr>
                <w:rFonts w:eastAsia="SimSun"/>
                <w:b/>
                <w:color w:val="000000"/>
                <w:sz w:val="22"/>
                <w:szCs w:val="22"/>
                <w:lang w:eastAsia="zh-CN" w:bidi="ar"/>
              </w:rPr>
            </w:pPr>
            <w:r>
              <w:rPr>
                <w:rFonts w:eastAsia="SimSun"/>
                <w:b/>
                <w:color w:val="000000"/>
                <w:sz w:val="22"/>
                <w:szCs w:val="22"/>
                <w:lang w:eastAsia="zh-CN" w:bidi="ar"/>
              </w:rPr>
              <w:t>Belisa</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64EBFF">
            <w:pPr>
              <w:jc w:val="center"/>
              <w:textAlignment w:val="bottom"/>
              <w:rPr>
                <w:rFonts w:eastAsia="SimSun"/>
                <w:b/>
                <w:color w:val="000000"/>
                <w:sz w:val="22"/>
                <w:szCs w:val="22"/>
                <w:lang w:eastAsia="zh-CN" w:bidi="ar"/>
              </w:rPr>
            </w:pPr>
            <w:r>
              <w:rPr>
                <w:rFonts w:eastAsia="SimSun"/>
                <w:b/>
                <w:color w:val="000000"/>
                <w:sz w:val="22"/>
                <w:szCs w:val="22"/>
                <w:lang w:eastAsia="zh-CN" w:bidi="ar"/>
              </w:rPr>
              <w:t>Banco de Preços</w:t>
            </w:r>
          </w:p>
        </w:tc>
        <w:tc>
          <w:tcPr>
            <w:tcW w:w="127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BE5D57">
            <w:pPr>
              <w:textAlignment w:val="bottom"/>
              <w:rPr>
                <w:rFonts w:eastAsia="SimSun"/>
                <w:b/>
                <w:color w:val="000000"/>
                <w:sz w:val="22"/>
                <w:szCs w:val="22"/>
                <w:lang w:eastAsia="zh-CN" w:bidi="ar"/>
              </w:rPr>
            </w:pPr>
            <w:r>
              <w:rPr>
                <w:rFonts w:eastAsia="SimSun"/>
                <w:b/>
                <w:color w:val="000000"/>
                <w:sz w:val="22"/>
                <w:szCs w:val="22"/>
                <w:lang w:eastAsia="zh-CN" w:bidi="ar"/>
              </w:rPr>
              <w:t>Painel de Preços</w:t>
            </w:r>
          </w:p>
        </w:tc>
        <w:tc>
          <w:tcPr>
            <w:tcW w:w="12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90FCC49">
            <w:pPr>
              <w:jc w:val="center"/>
              <w:textAlignment w:val="bottom"/>
              <w:rPr>
                <w:rFonts w:eastAsia="SimSun"/>
                <w:b/>
                <w:sz w:val="22"/>
                <w:szCs w:val="22"/>
                <w:lang w:eastAsia="zh-CN" w:bidi="ar"/>
              </w:rPr>
            </w:pPr>
            <w:r>
              <w:rPr>
                <w:rFonts w:eastAsia="SimSun"/>
                <w:b/>
                <w:sz w:val="22"/>
                <w:szCs w:val="22"/>
                <w:lang w:eastAsia="zh-CN" w:bidi="ar"/>
              </w:rPr>
              <w:t>Valor Médio Unitário</w:t>
            </w:r>
          </w:p>
        </w:tc>
        <w:tc>
          <w:tcPr>
            <w:tcW w:w="155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E1D0C20">
            <w:pPr>
              <w:jc w:val="center"/>
              <w:textAlignment w:val="bottom"/>
              <w:rPr>
                <w:rFonts w:eastAsia="SimSun"/>
                <w:b/>
                <w:color w:val="000000"/>
                <w:sz w:val="22"/>
                <w:szCs w:val="22"/>
                <w:lang w:eastAsia="zh-CN" w:bidi="ar"/>
              </w:rPr>
            </w:pPr>
            <w:r>
              <w:rPr>
                <w:rFonts w:eastAsia="SimSun"/>
                <w:b/>
                <w:color w:val="000000"/>
                <w:sz w:val="22"/>
                <w:szCs w:val="22"/>
                <w:lang w:eastAsia="zh-CN" w:bidi="ar"/>
              </w:rPr>
              <w:t>Valor Médio Total</w:t>
            </w:r>
          </w:p>
        </w:tc>
      </w:tr>
      <w:tr w14:paraId="0AA73BA3">
        <w:tblPrEx>
          <w:tblCellMar>
            <w:top w:w="0" w:type="dxa"/>
            <w:left w:w="108" w:type="dxa"/>
            <w:bottom w:w="0" w:type="dxa"/>
            <w:right w:w="108" w:type="dxa"/>
          </w:tblCellMar>
        </w:tblPrEx>
        <w:trPr>
          <w:trHeight w:val="300" w:hRule="atLeast"/>
          <w:jc w:val="center"/>
        </w:trPr>
        <w:tc>
          <w:tcPr>
            <w:tcW w:w="70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6769539">
            <w:pPr>
              <w:jc w:val="center"/>
              <w:textAlignment w:val="bottom"/>
              <w:rPr>
                <w:rFonts w:eastAsia="SimSun"/>
                <w:color w:val="000000"/>
                <w:sz w:val="22"/>
                <w:szCs w:val="22"/>
                <w:lang w:eastAsia="zh-CN" w:bidi="ar"/>
              </w:rPr>
            </w:pPr>
            <w:r>
              <w:rPr>
                <w:rFonts w:eastAsia="SimSun"/>
                <w:color w:val="000000"/>
                <w:sz w:val="22"/>
                <w:szCs w:val="22"/>
                <w:lang w:eastAsia="zh-CN" w:bidi="ar"/>
              </w:rPr>
              <w:t>01</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47A803">
            <w:pPr>
              <w:jc w:val="center"/>
              <w:textAlignment w:val="bottom"/>
              <w:rPr>
                <w:color w:val="000000"/>
                <w:sz w:val="22"/>
                <w:szCs w:val="22"/>
              </w:rPr>
            </w:pPr>
            <w:r>
              <w:rPr>
                <w:color w:val="000000"/>
                <w:sz w:val="22"/>
                <w:szCs w:val="22"/>
              </w:rPr>
              <w:t>05</w:t>
            </w:r>
          </w:p>
        </w:tc>
        <w:tc>
          <w:tcPr>
            <w:tcW w:w="198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05620A">
            <w:pPr>
              <w:jc w:val="center"/>
              <w:textAlignment w:val="bottom"/>
              <w:rPr>
                <w:color w:val="000000"/>
                <w:sz w:val="22"/>
                <w:szCs w:val="22"/>
              </w:rPr>
            </w:pPr>
            <w:r>
              <w:rPr>
                <w:sz w:val="22"/>
                <w:szCs w:val="22"/>
              </w:rPr>
              <w:t>Veículo novo, zero km, popular, ano/modelo de fabricação mínimo 2024/2025, cor branca, transmissão manual, 4 portas, com todos os equipamentos obrigatórios exigidos pelo Contran, capacidade para 5 ocupantes. Motor 1.0 flex, 3 cilindros, com potência mínima de 68 cv (g) e 71 cv (e); capacidade mínima do tanque de combustível de 47 litros, direção elétrica, freios com sistema anti-bloqueio (abs) nas quatro rodas, sistema de distribuição eletrônica de frenagem (ebd), airbags frontais, cintos de segurança de 3 pontos para todos os ocupantes, encostos de cabeça para todos os ocupantes, faróis de neblina, travas elétricas nas portas, desembaçador do vidro traseiro, ar -condicionado, vidros elétricos dianteiros, rodas de aço, rádio fm com conexão usb, protetor de cárter/motor, jogo de tapetes e película instalada em todos os vidros, conforme a resolução nº 254 do Contran.</w:t>
            </w:r>
          </w:p>
        </w:tc>
        <w:tc>
          <w:tcPr>
            <w:tcW w:w="113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8F09A7">
            <w:pPr>
              <w:jc w:val="center"/>
              <w:textAlignment w:val="bottom"/>
              <w:rPr>
                <w:rFonts w:eastAsia="SimSun"/>
                <w:color w:val="000000"/>
                <w:sz w:val="22"/>
                <w:szCs w:val="22"/>
                <w:lang w:eastAsia="zh-CN" w:bidi="ar"/>
              </w:rPr>
            </w:pPr>
            <w:r>
              <w:rPr>
                <w:sz w:val="22"/>
                <w:szCs w:val="22"/>
              </w:rPr>
              <w:t>R$ 89.000,00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721459">
            <w:pPr>
              <w:jc w:val="center"/>
              <w:textAlignment w:val="bottom"/>
              <w:rPr>
                <w:rFonts w:eastAsia="SimSun"/>
                <w:color w:val="000000"/>
                <w:sz w:val="22"/>
                <w:szCs w:val="22"/>
                <w:lang w:eastAsia="zh-CN" w:bidi="ar"/>
              </w:rPr>
            </w:pPr>
            <w:r>
              <w:rPr>
                <w:rFonts w:eastAsia="SimSun"/>
                <w:color w:val="000000"/>
                <w:sz w:val="22"/>
                <w:szCs w:val="22"/>
                <w:lang w:eastAsia="zh-CN" w:bidi="ar"/>
              </w:rPr>
              <w:t xml:space="preserve">R$ </w:t>
            </w:r>
            <w:r>
              <w:rPr>
                <w:sz w:val="22"/>
                <w:szCs w:val="22"/>
              </w:rPr>
              <w:t>86.695,00</w:t>
            </w:r>
          </w:p>
        </w:tc>
        <w:tc>
          <w:tcPr>
            <w:tcW w:w="127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C837B83">
            <w:pPr>
              <w:jc w:val="center"/>
              <w:textAlignment w:val="bottom"/>
              <w:rPr>
                <w:rFonts w:eastAsia="SimSun"/>
                <w:color w:val="000000"/>
                <w:sz w:val="22"/>
                <w:szCs w:val="22"/>
                <w:lang w:eastAsia="zh-CN" w:bidi="ar"/>
              </w:rPr>
            </w:pPr>
            <w:r>
              <w:rPr>
                <w:rFonts w:eastAsia="SimSun"/>
                <w:color w:val="000000"/>
                <w:sz w:val="22"/>
                <w:szCs w:val="22"/>
                <w:lang w:eastAsia="zh-CN" w:bidi="ar"/>
              </w:rPr>
              <w:t xml:space="preserve">R$ </w:t>
            </w:r>
            <w:r>
              <w:rPr>
                <w:sz w:val="22"/>
                <w:szCs w:val="22"/>
              </w:rPr>
              <w:t>54.799,31</w:t>
            </w:r>
          </w:p>
        </w:tc>
        <w:tc>
          <w:tcPr>
            <w:tcW w:w="12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B26410E">
            <w:pPr>
              <w:jc w:val="center"/>
              <w:textAlignment w:val="bottom"/>
              <w:rPr>
                <w:rFonts w:eastAsia="SimSun"/>
                <w:sz w:val="22"/>
                <w:szCs w:val="22"/>
                <w:lang w:eastAsia="zh-CN" w:bidi="ar"/>
              </w:rPr>
            </w:pPr>
            <w:r>
              <w:rPr>
                <w:rFonts w:eastAsia="SimSun"/>
                <w:sz w:val="22"/>
                <w:szCs w:val="22"/>
                <w:lang w:eastAsia="zh-CN" w:bidi="ar"/>
              </w:rPr>
              <w:t xml:space="preserve"> </w:t>
            </w:r>
            <w:r>
              <w:rPr>
                <w:sz w:val="22"/>
                <w:szCs w:val="22"/>
              </w:rPr>
              <w:t>R$ 76.831,44</w:t>
            </w:r>
          </w:p>
        </w:tc>
        <w:tc>
          <w:tcPr>
            <w:tcW w:w="155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9AA894">
            <w:pPr>
              <w:jc w:val="center"/>
              <w:textAlignment w:val="bottom"/>
              <w:rPr>
                <w:rFonts w:eastAsia="SimSun"/>
                <w:color w:val="000000"/>
                <w:sz w:val="22"/>
                <w:szCs w:val="22"/>
                <w:lang w:eastAsia="zh-CN" w:bidi="ar"/>
              </w:rPr>
            </w:pPr>
            <w:r>
              <w:rPr>
                <w:rFonts w:eastAsia="SimSun"/>
                <w:color w:val="000000"/>
                <w:sz w:val="22"/>
                <w:szCs w:val="22"/>
                <w:lang w:eastAsia="zh-CN" w:bidi="ar"/>
              </w:rPr>
              <w:t xml:space="preserve">R$ </w:t>
            </w:r>
            <w:r>
              <w:rPr>
                <w:sz w:val="22"/>
                <w:szCs w:val="22"/>
              </w:rPr>
              <w:t>384.157,20</w:t>
            </w:r>
          </w:p>
        </w:tc>
      </w:tr>
      <w:tr w14:paraId="3B94673C">
        <w:tblPrEx>
          <w:tblCellMar>
            <w:top w:w="0" w:type="dxa"/>
            <w:left w:w="108" w:type="dxa"/>
            <w:bottom w:w="0" w:type="dxa"/>
            <w:right w:w="108" w:type="dxa"/>
          </w:tblCellMar>
        </w:tblPrEx>
        <w:trPr>
          <w:trHeight w:val="300" w:hRule="atLeast"/>
          <w:jc w:val="center"/>
        </w:trPr>
        <w:tc>
          <w:tcPr>
            <w:tcW w:w="70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CA79935">
            <w:pPr>
              <w:jc w:val="center"/>
              <w:textAlignment w:val="bottom"/>
              <w:rPr>
                <w:rFonts w:eastAsia="SimSun"/>
                <w:color w:val="000000"/>
                <w:sz w:val="18"/>
                <w:szCs w:val="18"/>
                <w:lang w:eastAsia="zh-CN" w:bidi="ar"/>
              </w:rPr>
            </w:pPr>
            <w:r>
              <w:rPr>
                <w:rFonts w:eastAsia="SimSun"/>
                <w:color w:val="000000"/>
                <w:sz w:val="18"/>
                <w:szCs w:val="18"/>
                <w:lang w:eastAsia="zh-CN" w:bidi="ar"/>
              </w:rPr>
              <w:t>02</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AD5A8C">
            <w:pPr>
              <w:jc w:val="center"/>
              <w:textAlignment w:val="bottom"/>
              <w:rPr>
                <w:color w:val="000000"/>
                <w:sz w:val="18"/>
                <w:szCs w:val="18"/>
              </w:rPr>
            </w:pPr>
            <w:r>
              <w:rPr>
                <w:color w:val="000000"/>
                <w:sz w:val="18"/>
                <w:szCs w:val="18"/>
              </w:rPr>
              <w:t>01</w:t>
            </w:r>
          </w:p>
        </w:tc>
        <w:tc>
          <w:tcPr>
            <w:tcW w:w="198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7793F7">
            <w:pPr>
              <w:jc w:val="center"/>
              <w:textAlignment w:val="bottom"/>
              <w:rPr>
                <w:color w:val="000000"/>
                <w:sz w:val="22"/>
                <w:szCs w:val="22"/>
              </w:rPr>
            </w:pPr>
            <w:r>
              <w:rPr>
                <w:sz w:val="22"/>
                <w:szCs w:val="22"/>
              </w:rPr>
              <w:t>Veículo utilit ário do tipo spin novo, zero km, com as seguintes características: veículo de 7 lugares: na cor branca, zero km, ano 2025, controle de estabilidade e tração, travas de segurança nas portas traseiras, airbag duplo e alarme antifurto, sistemas de fixação isofix e top tether para cadeirinhas infantis, rodas são de alumínio aro 16' rodas alumínio 6,5j x 16, pneus radiais 205/60 r16, capacidade de carga para 162l e pode chegar a 553l com o rebatimento do banco traseiro, câmbio automático de 6 velocidades, direção elétrica progressiva, motor 1.8 spe/4 eco de 4 cilindros e 111cv de potência, bluetooth® e controles de rádio e telefone integrados ao volante, sensor</w:t>
            </w:r>
          </w:p>
        </w:tc>
        <w:tc>
          <w:tcPr>
            <w:tcW w:w="113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B741BD0">
            <w:pPr>
              <w:jc w:val="center"/>
              <w:textAlignment w:val="bottom"/>
              <w:rPr>
                <w:rFonts w:eastAsia="SimSun"/>
                <w:color w:val="000000"/>
                <w:sz w:val="18"/>
                <w:szCs w:val="18"/>
                <w:lang w:eastAsia="zh-CN" w:bidi="ar"/>
              </w:rPr>
            </w:pPr>
            <w:r>
              <w:rPr>
                <w:rFonts w:eastAsia="SimSun"/>
                <w:color w:val="000000"/>
                <w:sz w:val="18"/>
                <w:szCs w:val="18"/>
                <w:lang w:eastAsia="zh-CN" w:bidi="ar"/>
              </w:rPr>
              <w:t xml:space="preserve">R$ </w:t>
            </w:r>
            <w:r>
              <w:t>185.000,00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5BAD10">
            <w:pPr>
              <w:jc w:val="center"/>
              <w:textAlignment w:val="bottom"/>
              <w:rPr>
                <w:rFonts w:eastAsia="SimSun"/>
                <w:color w:val="000000"/>
                <w:sz w:val="18"/>
                <w:szCs w:val="18"/>
                <w:lang w:eastAsia="zh-CN" w:bidi="ar"/>
              </w:rPr>
            </w:pPr>
            <w:r>
              <w:rPr>
                <w:rFonts w:eastAsia="SimSun"/>
                <w:color w:val="000000"/>
                <w:sz w:val="18"/>
                <w:szCs w:val="18"/>
                <w:lang w:eastAsia="zh-CN" w:bidi="ar"/>
              </w:rPr>
              <w:t xml:space="preserve">R$ </w:t>
            </w:r>
            <w:r>
              <w:t>153.850,00</w:t>
            </w:r>
          </w:p>
        </w:tc>
        <w:tc>
          <w:tcPr>
            <w:tcW w:w="127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0B28FC">
            <w:pPr>
              <w:jc w:val="center"/>
              <w:textAlignment w:val="bottom"/>
              <w:rPr>
                <w:rFonts w:eastAsia="SimSun"/>
                <w:color w:val="000000"/>
                <w:sz w:val="18"/>
                <w:szCs w:val="18"/>
                <w:lang w:eastAsia="zh-CN" w:bidi="ar"/>
              </w:rPr>
            </w:pPr>
            <w:r>
              <w:rPr>
                <w:rFonts w:eastAsia="SimSun"/>
                <w:color w:val="000000"/>
                <w:sz w:val="18"/>
                <w:szCs w:val="18"/>
                <w:lang w:eastAsia="zh-CN" w:bidi="ar"/>
              </w:rPr>
              <w:t xml:space="preserve">R$ </w:t>
            </w:r>
            <w:r>
              <w:t>142.491,17</w:t>
            </w:r>
          </w:p>
        </w:tc>
        <w:tc>
          <w:tcPr>
            <w:tcW w:w="12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F303426">
            <w:pPr>
              <w:jc w:val="center"/>
              <w:textAlignment w:val="bottom"/>
              <w:rPr>
                <w:rFonts w:eastAsia="SimSun"/>
                <w:sz w:val="18"/>
                <w:szCs w:val="18"/>
                <w:lang w:eastAsia="zh-CN" w:bidi="ar"/>
              </w:rPr>
            </w:pPr>
            <w:r>
              <w:rPr>
                <w:rFonts w:eastAsia="SimSun"/>
                <w:sz w:val="18"/>
                <w:szCs w:val="18"/>
                <w:lang w:eastAsia="zh-CN" w:bidi="ar"/>
              </w:rPr>
              <w:t xml:space="preserve">R$ </w:t>
            </w:r>
            <w:r>
              <w:t>160.447,06</w:t>
            </w:r>
          </w:p>
        </w:tc>
        <w:tc>
          <w:tcPr>
            <w:tcW w:w="155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4D5F29">
            <w:pPr>
              <w:jc w:val="center"/>
              <w:textAlignment w:val="bottom"/>
              <w:rPr>
                <w:rFonts w:eastAsia="SimSun"/>
                <w:color w:val="000000"/>
                <w:sz w:val="18"/>
                <w:szCs w:val="18"/>
                <w:lang w:eastAsia="zh-CN" w:bidi="ar"/>
              </w:rPr>
            </w:pPr>
            <w:r>
              <w:rPr>
                <w:rFonts w:eastAsia="SimSun"/>
                <w:color w:val="000000"/>
                <w:sz w:val="18"/>
                <w:szCs w:val="18"/>
                <w:lang w:eastAsia="zh-CN" w:bidi="ar"/>
              </w:rPr>
              <w:t xml:space="preserve">R$ </w:t>
            </w:r>
            <w:r>
              <w:t>160.447,06</w:t>
            </w:r>
          </w:p>
        </w:tc>
      </w:tr>
      <w:tr w14:paraId="40F28FCE">
        <w:tblPrEx>
          <w:tblCellMar>
            <w:top w:w="0" w:type="dxa"/>
            <w:left w:w="108" w:type="dxa"/>
            <w:bottom w:w="0" w:type="dxa"/>
            <w:right w:w="108" w:type="dxa"/>
          </w:tblCellMar>
        </w:tblPrEx>
        <w:trPr>
          <w:trHeight w:val="300" w:hRule="atLeast"/>
          <w:jc w:val="center"/>
        </w:trPr>
        <w:tc>
          <w:tcPr>
            <w:tcW w:w="70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5EC5C7">
            <w:pPr>
              <w:jc w:val="center"/>
              <w:textAlignment w:val="bottom"/>
              <w:rPr>
                <w:rFonts w:eastAsia="SimSun"/>
                <w:color w:val="000000"/>
                <w:sz w:val="18"/>
                <w:szCs w:val="18"/>
                <w:lang w:eastAsia="zh-CN" w:bidi="ar"/>
              </w:rPr>
            </w:pP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FD62DED">
            <w:pPr>
              <w:jc w:val="center"/>
              <w:textAlignment w:val="bottom"/>
              <w:rPr>
                <w:color w:val="000000"/>
                <w:sz w:val="18"/>
                <w:szCs w:val="18"/>
              </w:rPr>
            </w:pPr>
          </w:p>
        </w:tc>
        <w:tc>
          <w:tcPr>
            <w:tcW w:w="198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AC8D47">
            <w:pPr>
              <w:jc w:val="center"/>
              <w:textAlignment w:val="bottom"/>
              <w:rPr>
                <w:sz w:val="22"/>
                <w:szCs w:val="22"/>
              </w:rPr>
            </w:pPr>
          </w:p>
        </w:tc>
        <w:tc>
          <w:tcPr>
            <w:tcW w:w="113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4B4AEC4">
            <w:pPr>
              <w:jc w:val="center"/>
              <w:textAlignment w:val="bottom"/>
              <w:rPr>
                <w:rFonts w:eastAsia="SimSun"/>
                <w:color w:val="000000"/>
                <w:sz w:val="18"/>
                <w:szCs w:val="18"/>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A1641A">
            <w:pPr>
              <w:jc w:val="center"/>
              <w:textAlignment w:val="bottom"/>
              <w:rPr>
                <w:rFonts w:eastAsia="SimSun"/>
                <w:color w:val="000000"/>
                <w:sz w:val="18"/>
                <w:szCs w:val="18"/>
                <w:lang w:eastAsia="zh-CN" w:bidi="ar"/>
              </w:rPr>
            </w:pPr>
          </w:p>
        </w:tc>
        <w:tc>
          <w:tcPr>
            <w:tcW w:w="127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8A1D8C">
            <w:pPr>
              <w:jc w:val="center"/>
              <w:textAlignment w:val="bottom"/>
              <w:rPr>
                <w:rFonts w:eastAsia="SimSun"/>
                <w:color w:val="000000"/>
                <w:sz w:val="18"/>
                <w:szCs w:val="18"/>
                <w:lang w:eastAsia="zh-CN" w:bidi="ar"/>
              </w:rPr>
            </w:pPr>
          </w:p>
        </w:tc>
        <w:tc>
          <w:tcPr>
            <w:tcW w:w="12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19C777A">
            <w:pPr>
              <w:jc w:val="center"/>
              <w:textAlignment w:val="bottom"/>
              <w:rPr>
                <w:rFonts w:eastAsia="SimSun"/>
                <w:b/>
                <w:sz w:val="22"/>
                <w:szCs w:val="22"/>
                <w:lang w:eastAsia="zh-CN" w:bidi="ar"/>
              </w:rPr>
            </w:pPr>
            <w:r>
              <w:rPr>
                <w:rFonts w:eastAsia="SimSun"/>
                <w:b/>
                <w:sz w:val="22"/>
                <w:szCs w:val="22"/>
                <w:lang w:eastAsia="zh-CN" w:bidi="ar"/>
              </w:rPr>
              <w:t>TOTAL:</w:t>
            </w:r>
          </w:p>
        </w:tc>
        <w:tc>
          <w:tcPr>
            <w:tcW w:w="155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A04137">
            <w:pPr>
              <w:jc w:val="center"/>
              <w:textAlignment w:val="bottom"/>
              <w:rPr>
                <w:rFonts w:eastAsia="SimSun"/>
                <w:b/>
                <w:color w:val="000000"/>
                <w:sz w:val="22"/>
                <w:szCs w:val="22"/>
                <w:lang w:eastAsia="zh-CN" w:bidi="ar"/>
              </w:rPr>
            </w:pPr>
            <w:r>
              <w:rPr>
                <w:rFonts w:eastAsia="SimSun"/>
                <w:b/>
                <w:color w:val="000000"/>
                <w:sz w:val="22"/>
                <w:szCs w:val="22"/>
                <w:lang w:eastAsia="zh-CN" w:bidi="ar"/>
              </w:rPr>
              <w:t>R$ 544.604,26</w:t>
            </w:r>
          </w:p>
        </w:tc>
      </w:tr>
    </w:tbl>
    <w:p w14:paraId="568C378C">
      <w:pPr>
        <w:tabs>
          <w:tab w:val="left" w:pos="709"/>
        </w:tabs>
        <w:spacing w:before="120" w:after="120"/>
        <w:ind w:left="142"/>
        <w:jc w:val="center"/>
        <w:rPr>
          <w:b/>
          <w:sz w:val="24"/>
          <w:szCs w:val="24"/>
          <w:u w:val="single"/>
        </w:rPr>
      </w:pPr>
    </w:p>
    <w:p w14:paraId="0527C7B9">
      <w:pPr>
        <w:rPr>
          <w:b/>
        </w:rPr>
      </w:pPr>
    </w:p>
    <w:p w14:paraId="631E76E8">
      <w:pPr>
        <w:rPr>
          <w:b/>
        </w:rPr>
      </w:pPr>
    </w:p>
    <w:p w14:paraId="27CD94D6">
      <w:pPr>
        <w:rPr>
          <w:b/>
        </w:rPr>
      </w:pPr>
    </w:p>
    <w:p w14:paraId="53CD4882">
      <w:pPr>
        <w:rPr>
          <w:b/>
        </w:rPr>
      </w:pPr>
    </w:p>
    <w:p w14:paraId="43E93F6E">
      <w:pPr>
        <w:rPr>
          <w:b/>
        </w:rPr>
      </w:pPr>
    </w:p>
    <w:p w14:paraId="6A4B9739">
      <w:pPr>
        <w:rPr>
          <w:b/>
        </w:rPr>
      </w:pPr>
    </w:p>
    <w:p w14:paraId="26FEF898">
      <w:pPr>
        <w:rPr>
          <w:b/>
        </w:rPr>
      </w:pPr>
    </w:p>
    <w:p w14:paraId="154F81DD">
      <w:pPr>
        <w:rPr>
          <w:b/>
        </w:rPr>
      </w:pPr>
    </w:p>
    <w:p w14:paraId="09BCFC8D">
      <w:pPr>
        <w:rPr>
          <w:b/>
        </w:rPr>
      </w:pPr>
    </w:p>
    <w:p w14:paraId="5DFA39B1">
      <w:pPr>
        <w:rPr>
          <w:b/>
        </w:rPr>
      </w:pPr>
    </w:p>
    <w:p w14:paraId="221DC77C">
      <w:pPr>
        <w:rPr>
          <w:b/>
        </w:rPr>
      </w:pPr>
    </w:p>
    <w:p w14:paraId="6A85873A">
      <w:pPr>
        <w:rPr>
          <w:b/>
        </w:rPr>
      </w:pPr>
    </w:p>
    <w:p w14:paraId="12040FB6">
      <w:pPr>
        <w:rPr>
          <w:b/>
        </w:rPr>
      </w:pPr>
    </w:p>
    <w:p w14:paraId="1273ED63">
      <w:pPr>
        <w:rPr>
          <w:rFonts w:ascii="Arial" w:hAnsi="Arial" w:cs="Arial"/>
        </w:rPr>
      </w:pPr>
    </w:p>
    <w:p w14:paraId="45EBD83F">
      <w:pPr>
        <w:rPr>
          <w:rFonts w:ascii="Arial" w:hAnsi="Arial" w:cs="Arial"/>
        </w:rPr>
      </w:pPr>
    </w:p>
    <w:p w14:paraId="6245B254">
      <w:pPr>
        <w:rPr>
          <w:rFonts w:ascii="Arial" w:hAnsi="Arial" w:cs="Arial"/>
        </w:rPr>
      </w:pPr>
    </w:p>
    <w:p w14:paraId="7D261CCD">
      <w:pPr>
        <w:rPr>
          <w:rFonts w:ascii="Arial" w:hAnsi="Arial" w:cs="Arial"/>
        </w:rPr>
      </w:pPr>
    </w:p>
    <w:p w14:paraId="54CABCD2">
      <w:pPr>
        <w:rPr>
          <w:rFonts w:ascii="Arial" w:hAnsi="Arial" w:cs="Arial"/>
        </w:rPr>
      </w:pPr>
    </w:p>
    <w:p w14:paraId="2F992440">
      <w:pPr>
        <w:rPr>
          <w:rFonts w:ascii="Arial" w:hAnsi="Arial" w:cs="Arial"/>
        </w:rPr>
      </w:pPr>
    </w:p>
    <w:p w14:paraId="2110695E">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B72FB63">
      <w:pPr>
        <w:spacing w:line="288" w:lineRule="auto"/>
        <w:contextualSpacing/>
        <w:jc w:val="center"/>
        <w:rPr>
          <w:b/>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MINUTA - ATA DE REGISTRO DE PREÇOS N° </w:t>
      </w:r>
      <w:r>
        <w:rPr>
          <w:b/>
          <w:color w:val="000000" w:themeColor="text1"/>
          <w:sz w:val="24"/>
          <w:szCs w:val="24"/>
          <w14:textFill>
            <w14:solidFill>
              <w14:schemeClr w14:val="tx1"/>
            </w14:solidFill>
          </w14:textFill>
        </w:rPr>
        <w:t>XXX/XXX</w:t>
      </w:r>
    </w:p>
    <w:p w14:paraId="6522E20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0645F0F3">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Rafael de Oliveira Tavares, portador do CPF nº 105.832.167-65, considerando o resultado do Pregão Eletrônico nº xxx/2025, publicada no ...... de ...../...../202... para REGISTRO DE PREÇOS, processo administrativo ....., RESOLVE registrar os preços da  empresa indicada e qualificada nesta ATA, de acordo com a classificação por ela alcançada e na quantidade  cotada, atendendo as condições previstas no </w:t>
      </w:r>
      <w:bookmarkStart w:id="48" w:name="_Hlk158816343"/>
      <w:r>
        <w:rPr>
          <w:color w:val="000000" w:themeColor="text1"/>
          <w:sz w:val="24"/>
          <w:szCs w:val="24"/>
          <w14:textFill>
            <w14:solidFill>
              <w14:schemeClr w14:val="tx1"/>
            </w14:solidFill>
          </w14:textFill>
        </w:rPr>
        <w:t xml:space="preserve">Edital de licitação </w:t>
      </w:r>
      <w:bookmarkStart w:id="49" w:name="_Hlk155800648"/>
      <w:r>
        <w:rPr>
          <w:color w:val="000000" w:themeColor="text1"/>
          <w:sz w:val="24"/>
          <w:szCs w:val="24"/>
          <w14:textFill>
            <w14:solidFill>
              <w14:schemeClr w14:val="tx1"/>
            </w14:solidFill>
          </w14:textFill>
        </w:rPr>
        <w:t>nº xxx/202</w:t>
      </w:r>
      <w:bookmarkEnd w:id="49"/>
      <w:r>
        <w:rPr>
          <w:color w:val="000000" w:themeColor="text1"/>
          <w:sz w:val="24"/>
          <w:szCs w:val="24"/>
          <w14:textFill>
            <w14:solidFill>
              <w14:schemeClr w14:val="tx1"/>
            </w14:solidFill>
          </w14:textFill>
        </w:rPr>
        <w:t>5 Termo de Referência</w:t>
      </w:r>
      <w:bookmarkEnd w:id="48"/>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76C47100">
      <w:pPr>
        <w:pStyle w:val="97"/>
        <w:spacing w:before="0" w:beforeAutospacing="0" w:after="0" w:afterAutospacing="0" w:line="288" w:lineRule="auto"/>
        <w:ind w:right="-1"/>
        <w:contextualSpacing/>
        <w:jc w:val="both"/>
        <w:rPr>
          <w:b/>
          <w:bCs/>
        </w:rPr>
      </w:pPr>
      <w:r>
        <w:rPr>
          <w:b/>
          <w:bCs/>
        </w:rPr>
        <w:t xml:space="preserve">CLÁUSULA PRIMEIRA: OBJETO </w:t>
      </w:r>
    </w:p>
    <w:p w14:paraId="04A6C3D3">
      <w:pPr>
        <w:pStyle w:val="97"/>
        <w:spacing w:before="0" w:beforeAutospacing="0" w:after="0" w:afterAutospacing="0" w:line="288" w:lineRule="auto"/>
        <w:ind w:right="-1"/>
        <w:contextualSpacing/>
        <w:jc w:val="both"/>
        <w:rPr>
          <w:b/>
          <w:bCs/>
        </w:rPr>
      </w:pPr>
    </w:p>
    <w:p w14:paraId="6C24DB46">
      <w:pPr>
        <w:pStyle w:val="77"/>
        <w:numPr>
          <w:ilvl w:val="1"/>
          <w:numId w:val="18"/>
        </w:numPr>
        <w:spacing w:line="360" w:lineRule="auto"/>
        <w:jc w:val="both"/>
        <w:rPr>
          <w:rFonts w:ascii="Times New Roman" w:hAnsi="Times New Roman" w:cs="Times New Roman"/>
          <w:sz w:val="24"/>
          <w:szCs w:val="24"/>
        </w:rPr>
      </w:pPr>
      <w:r>
        <w:rPr>
          <w:rFonts w:ascii="Times New Roman" w:hAnsi="Times New Roman" w:cs="Times New Roman"/>
          <w:sz w:val="24"/>
          <w:szCs w:val="24"/>
        </w:rPr>
        <w:t>Futura aquisição de Veículos para Secretaria Municipal de Saúde.</w:t>
      </w:r>
    </w:p>
    <w:p w14:paraId="14BA66D1">
      <w:pPr>
        <w:pStyle w:val="77"/>
        <w:spacing w:line="360" w:lineRule="auto"/>
        <w:ind w:left="360"/>
        <w:jc w:val="both"/>
        <w:rPr>
          <w:rFonts w:ascii="Times New Roman" w:hAnsi="Times New Roman" w:cs="Times New Roman"/>
          <w:sz w:val="24"/>
          <w:szCs w:val="24"/>
        </w:rPr>
      </w:pP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2.1 Futura aquisição de Veículos para Secretaria Municipal de Saúde.</w:t>
      </w:r>
    </w:p>
    <w:p w14:paraId="3F76A2DF">
      <w:pPr>
        <w:pStyle w:val="77"/>
        <w:spacing w:line="360" w:lineRule="auto"/>
        <w:jc w:val="both"/>
        <w:rPr>
          <w:rFonts w:ascii="Times New Roman" w:hAnsi="Times New Roma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50" w:name="_Hlk158816379"/>
      <w:r>
        <w:rPr>
          <w:color w:val="000000" w:themeColor="text1"/>
          <w:sz w:val="24"/>
          <w:szCs w:val="24"/>
          <w14:textFill>
            <w14:solidFill>
              <w14:schemeClr w14:val="tx1"/>
            </w14:solidFill>
          </w14:textFill>
        </w:rPr>
        <w:t>do certame</w:t>
      </w:r>
      <w:bookmarkEnd w:id="50"/>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51"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51"/>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52"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52"/>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Rafael de Oliveira Tavares</w:t>
      </w:r>
    </w:p>
    <w:p w14:paraId="6004A2DC">
      <w:pPr>
        <w:spacing w:line="288" w:lineRule="auto"/>
        <w:ind w:firstLine="567"/>
        <w:contextualSpacing/>
        <w:jc w:val="center"/>
        <w:rPr>
          <w:bCs/>
          <w:sz w:val="24"/>
          <w:szCs w:val="24"/>
        </w:rPr>
      </w:pPr>
      <w:r>
        <w:rPr>
          <w:sz w:val="24"/>
          <w:szCs w:val="24"/>
        </w:rPr>
        <w:t>Secretária Municipal de Saúde</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lang w:eastAsia="en-US"/>
        </w:rPr>
      </w:pPr>
      <w:r>
        <w:rPr>
          <w:rFonts w:eastAsia="Calibri"/>
          <w:b/>
          <w:bCs/>
          <w:lang w:eastAsia="en-US"/>
        </w:rPr>
        <w:t xml:space="preserve">                                                    ANEXO VI</w:t>
      </w:r>
    </w:p>
    <w:p w14:paraId="19ACA2BB">
      <w:pPr>
        <w:spacing w:line="288" w:lineRule="auto"/>
        <w:contextualSpacing/>
        <w:jc w:val="center"/>
        <w:rPr>
          <w:b/>
          <w:bCs/>
          <w:sz w:val="24"/>
          <w:szCs w:val="24"/>
        </w:rPr>
      </w:pPr>
      <w:r>
        <w:rPr>
          <w:b/>
          <w:bCs/>
          <w:sz w:val="24"/>
          <w:szCs w:val="24"/>
        </w:rPr>
        <w:t xml:space="preserve">MINUTA- CONTRATO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XXX/2025, DE </w:t>
      </w:r>
      <w:r>
        <w:rPr>
          <w:rFonts w:eastAsia="Cambria"/>
          <w:b/>
          <w:sz w:val="24"/>
          <w:szCs w:val="24"/>
        </w:rPr>
        <w:t xml:space="preserve">AQUISIÇÃO DE VEÍCULOS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xxx/2025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014DAABF">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Futura aquisição de Veículos para Secretaria Municipal de Saúde.</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19"/>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53"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53"/>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Rafael de Oliveira Tavares</w:t>
      </w:r>
    </w:p>
    <w:p w14:paraId="074CFAED">
      <w:pPr>
        <w:spacing w:line="288" w:lineRule="auto"/>
        <w:ind w:firstLine="567"/>
        <w:contextualSpacing/>
        <w:jc w:val="center"/>
        <w:rPr>
          <w:bCs/>
          <w:sz w:val="24"/>
          <w:szCs w:val="24"/>
        </w:rPr>
      </w:pPr>
      <w:r>
        <w:rPr>
          <w:sz w:val="24"/>
          <w:szCs w:val="24"/>
        </w:rPr>
        <w:t>Secretário Municipal de Saúde</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rPr>
      </w:pPr>
      <w:r>
        <w:rPr>
          <w:b/>
          <w:bCs/>
          <w:sz w:val="24"/>
          <w:szCs w:val="24"/>
        </w:rPr>
        <w:t>ANEXO VIII</w:t>
      </w: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5050CB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DC6123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2B4946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AD180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F7F35E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E44DB8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2A7A6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4A128D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5A94A5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953A2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9E4C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34F60563">
      <w:pPr>
        <w:pStyle w:val="20"/>
        <w:ind w:right="-284" w:firstLine="142"/>
        <w:jc w:val="center"/>
        <w:rPr>
          <w:rFonts w:ascii="Times New Roman" w:hAnsi="Times New Roman" w:cs="Times New Roman"/>
          <w:b/>
        </w:rPr>
      </w:pPr>
    </w:p>
    <w:p w14:paraId="5D3966CD">
      <w:pPr>
        <w:pStyle w:val="20"/>
        <w:ind w:right="-284" w:firstLine="142"/>
        <w:jc w:val="center"/>
        <w:rPr>
          <w:rFonts w:ascii="Times New Roman" w:hAnsi="Times New Roman" w:cs="Times New Roman"/>
          <w:b/>
        </w:rPr>
      </w:pPr>
    </w:p>
    <w:p w14:paraId="7E29BD61">
      <w:pPr>
        <w:pStyle w:val="20"/>
        <w:ind w:right="-284" w:firstLine="142"/>
        <w:jc w:val="center"/>
        <w:rPr>
          <w:rFonts w:ascii="Times New Roman" w:hAnsi="Times New Roman" w:cs="Times New Roman"/>
          <w:b/>
        </w:rPr>
      </w:pPr>
    </w:p>
    <w:p w14:paraId="22533C8F">
      <w:pPr>
        <w:pStyle w:val="20"/>
        <w:ind w:right="-284" w:firstLine="142"/>
        <w:jc w:val="center"/>
        <w:rPr>
          <w:rFonts w:ascii="Times New Roman" w:hAnsi="Times New Roman" w:cs="Times New Roman"/>
          <w:b/>
        </w:rPr>
      </w:pPr>
    </w:p>
    <w:p w14:paraId="6E46F969">
      <w:pPr>
        <w:pStyle w:val="20"/>
        <w:ind w:right="-284" w:firstLine="142"/>
        <w:jc w:val="center"/>
        <w:rPr>
          <w:rFonts w:ascii="Times New Roman" w:hAnsi="Times New Roman" w:cs="Times New Roman"/>
          <w:b/>
        </w:rPr>
      </w:pPr>
    </w:p>
    <w:p w14:paraId="33DB2B94">
      <w:pPr>
        <w:pStyle w:val="20"/>
        <w:ind w:right="-284" w:firstLine="142"/>
        <w:jc w:val="center"/>
        <w:rPr>
          <w:rFonts w:ascii="Times New Roman" w:hAnsi="Times New Roman" w:cs="Times New Roman"/>
          <w:b/>
        </w:rPr>
      </w:pPr>
    </w:p>
    <w:p w14:paraId="7A239F1C">
      <w:pPr>
        <w:pStyle w:val="20"/>
        <w:ind w:right="-284" w:firstLine="142"/>
        <w:jc w:val="center"/>
        <w:rPr>
          <w:rFonts w:ascii="Times New Roman" w:hAnsi="Times New Roman" w:cs="Times New Roman"/>
          <w:b/>
        </w:rPr>
      </w:pPr>
    </w:p>
    <w:p w14:paraId="439BE6EA">
      <w:pPr>
        <w:pStyle w:val="20"/>
        <w:ind w:right="-284" w:firstLine="142"/>
        <w:jc w:val="center"/>
        <w:rPr>
          <w:rFonts w:ascii="Times New Roman" w:hAnsi="Times New Roman" w:cs="Times New Roman"/>
          <w:b/>
        </w:rPr>
      </w:pPr>
    </w:p>
    <w:p w14:paraId="4EF66EA8">
      <w:pPr>
        <w:pStyle w:val="20"/>
        <w:ind w:right="-284" w:firstLine="142"/>
        <w:jc w:val="center"/>
        <w:rPr>
          <w:rFonts w:ascii="Times New Roman" w:hAnsi="Times New Roman" w:cs="Times New Roman"/>
          <w:b/>
        </w:rPr>
      </w:pPr>
    </w:p>
    <w:p w14:paraId="5F000017">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227C9B">
      <w:pPr>
        <w:pStyle w:val="20"/>
        <w:spacing w:line="360" w:lineRule="auto"/>
        <w:ind w:right="-285" w:firstLine="142"/>
        <w:jc w:val="center"/>
        <w:rPr>
          <w:rFonts w:ascii="Times New Roman" w:hAnsi="Times New Roman" w:cs="Times New Roman"/>
          <w:b/>
        </w:rPr>
      </w:pPr>
    </w:p>
    <w:p w14:paraId="6B132444">
      <w:pPr>
        <w:pStyle w:val="20"/>
        <w:spacing w:line="360" w:lineRule="auto"/>
        <w:ind w:right="-285" w:firstLine="142"/>
        <w:jc w:val="center"/>
        <w:rPr>
          <w:rFonts w:ascii="Times New Roman" w:hAnsi="Times New Roman" w:cs="Times New Roman"/>
          <w:b/>
        </w:rPr>
      </w:pPr>
    </w:p>
    <w:p w14:paraId="58633C5D">
      <w:pPr>
        <w:pStyle w:val="20"/>
        <w:spacing w:line="360" w:lineRule="auto"/>
        <w:ind w:right="-285" w:firstLine="142"/>
        <w:jc w:val="center"/>
        <w:rPr>
          <w:rFonts w:ascii="Times New Roman" w:hAnsi="Times New Roman" w:cs="Times New Roman"/>
          <w:b/>
        </w:rPr>
      </w:pPr>
    </w:p>
    <w:p w14:paraId="720F98C5">
      <w:pPr>
        <w:pStyle w:val="20"/>
        <w:spacing w:line="360" w:lineRule="auto"/>
        <w:ind w:right="-285" w:firstLine="142"/>
        <w:jc w:val="center"/>
        <w:rPr>
          <w:rFonts w:ascii="Times New Roman" w:hAnsi="Times New Roman" w:cs="Times New Roman"/>
          <w:b/>
        </w:rPr>
      </w:pP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Arial MT">
    <w:altName w:val="Arial"/>
    <w:panose1 w:val="00000000000000000000"/>
    <w:charset w:val="00"/>
    <w:family w:val="auto"/>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0D121B61"/>
    <w:multiLevelType w:val="multilevel"/>
    <w:tmpl w:val="0D121B61"/>
    <w:lvl w:ilvl="0" w:tentative="0">
      <w:start w:val="1"/>
      <w:numFmt w:val="decimal"/>
      <w:lvlText w:val="%1"/>
      <w:lvlJc w:val="left"/>
      <w:pPr>
        <w:ind w:left="360" w:hanging="360"/>
      </w:pPr>
      <w:rPr>
        <w:rFonts w:hint="default" w:eastAsia="Cambria Math"/>
      </w:rPr>
    </w:lvl>
    <w:lvl w:ilvl="1" w:tentative="0">
      <w:start w:val="1"/>
      <w:numFmt w:val="decimal"/>
      <w:lvlText w:val="%1.%2"/>
      <w:lvlJc w:val="left"/>
      <w:pPr>
        <w:ind w:left="360" w:hanging="360"/>
      </w:pPr>
      <w:rPr>
        <w:rFonts w:hint="default" w:eastAsia="Cambria Math"/>
      </w:rPr>
    </w:lvl>
    <w:lvl w:ilvl="2" w:tentative="0">
      <w:start w:val="1"/>
      <w:numFmt w:val="decimal"/>
      <w:lvlText w:val="%1.%2.%3"/>
      <w:lvlJc w:val="left"/>
      <w:pPr>
        <w:ind w:left="720" w:hanging="720"/>
      </w:pPr>
      <w:rPr>
        <w:rFonts w:hint="default" w:eastAsia="Cambria Math"/>
      </w:rPr>
    </w:lvl>
    <w:lvl w:ilvl="3" w:tentative="0">
      <w:start w:val="1"/>
      <w:numFmt w:val="decimal"/>
      <w:lvlText w:val="%1.%2.%3.%4"/>
      <w:lvlJc w:val="left"/>
      <w:pPr>
        <w:ind w:left="720" w:hanging="720"/>
      </w:pPr>
      <w:rPr>
        <w:rFonts w:hint="default" w:eastAsia="Cambria Math"/>
      </w:rPr>
    </w:lvl>
    <w:lvl w:ilvl="4" w:tentative="0">
      <w:start w:val="1"/>
      <w:numFmt w:val="decimal"/>
      <w:lvlText w:val="%1.%2.%3.%4.%5"/>
      <w:lvlJc w:val="left"/>
      <w:pPr>
        <w:ind w:left="1080" w:hanging="1080"/>
      </w:pPr>
      <w:rPr>
        <w:rFonts w:hint="default" w:eastAsia="Cambria Math"/>
      </w:rPr>
    </w:lvl>
    <w:lvl w:ilvl="5" w:tentative="0">
      <w:start w:val="1"/>
      <w:numFmt w:val="decimal"/>
      <w:lvlText w:val="%1.%2.%3.%4.%5.%6"/>
      <w:lvlJc w:val="left"/>
      <w:pPr>
        <w:ind w:left="1080" w:hanging="1080"/>
      </w:pPr>
      <w:rPr>
        <w:rFonts w:hint="default" w:eastAsia="Cambria Math"/>
      </w:rPr>
    </w:lvl>
    <w:lvl w:ilvl="6" w:tentative="0">
      <w:start w:val="1"/>
      <w:numFmt w:val="decimal"/>
      <w:lvlText w:val="%1.%2.%3.%4.%5.%6.%7"/>
      <w:lvlJc w:val="left"/>
      <w:pPr>
        <w:ind w:left="1440" w:hanging="1440"/>
      </w:pPr>
      <w:rPr>
        <w:rFonts w:hint="default" w:eastAsia="Cambria Math"/>
      </w:rPr>
    </w:lvl>
    <w:lvl w:ilvl="7" w:tentative="0">
      <w:start w:val="1"/>
      <w:numFmt w:val="decimal"/>
      <w:lvlText w:val="%1.%2.%3.%4.%5.%6.%7.%8"/>
      <w:lvlJc w:val="left"/>
      <w:pPr>
        <w:ind w:left="1440" w:hanging="1440"/>
      </w:pPr>
      <w:rPr>
        <w:rFonts w:hint="default" w:eastAsia="Cambria Math"/>
      </w:rPr>
    </w:lvl>
    <w:lvl w:ilvl="8" w:tentative="0">
      <w:start w:val="1"/>
      <w:numFmt w:val="decimal"/>
      <w:lvlText w:val="%1.%2.%3.%4.%5.%6.%7.%8.%9"/>
      <w:lvlJc w:val="left"/>
      <w:pPr>
        <w:ind w:left="1800" w:hanging="1800"/>
      </w:pPr>
      <w:rPr>
        <w:rFonts w:hint="default" w:eastAsia="Cambria Math"/>
      </w:rPr>
    </w:lvl>
  </w:abstractNum>
  <w:abstractNum w:abstractNumId="2">
    <w:nsid w:val="14EB315A"/>
    <w:multiLevelType w:val="multilevel"/>
    <w:tmpl w:val="14EB315A"/>
    <w:lvl w:ilvl="0" w:tentative="0">
      <w:start w:val="1"/>
      <w:numFmt w:val="lowerLetter"/>
      <w:lvlText w:val="%1)"/>
      <w:lvlJc w:val="left"/>
      <w:pPr>
        <w:ind w:left="1440" w:hanging="360"/>
      </w:pPr>
      <w:rPr>
        <w:rFonts w:hint="default"/>
        <w:b/>
        <w:bCs/>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193B219C"/>
    <w:multiLevelType w:val="multilevel"/>
    <w:tmpl w:val="193B219C"/>
    <w:lvl w:ilvl="0" w:tentative="0">
      <w:start w:val="1"/>
      <w:numFmt w:val="lowerLetter"/>
      <w:lvlText w:val="%1)"/>
      <w:lvlJc w:val="left"/>
      <w:pPr>
        <w:tabs>
          <w:tab w:val="left" w:pos="907"/>
        </w:tabs>
        <w:ind w:left="907" w:hanging="397"/>
      </w:pPr>
      <w:rPr>
        <w:b/>
        <w:bC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2E8429AD"/>
    <w:multiLevelType w:val="multilevel"/>
    <w:tmpl w:val="2E8429AD"/>
    <w:lvl w:ilvl="0" w:tentative="0">
      <w:start w:val="0"/>
      <w:numFmt w:val="bullet"/>
      <w:lvlText w:val="•"/>
      <w:lvlJc w:val="left"/>
      <w:pPr>
        <w:ind w:left="222" w:hanging="142"/>
      </w:pPr>
      <w:rPr>
        <w:rFonts w:hint="default" w:ascii="Microsoft Sans Serif" w:hAnsi="Microsoft Sans Serif" w:eastAsia="Microsoft Sans Serif" w:cs="Microsoft Sans Serif"/>
        <w:b w:val="0"/>
        <w:bCs w:val="0"/>
        <w:i w:val="0"/>
        <w:iCs w:val="0"/>
        <w:spacing w:val="0"/>
        <w:w w:val="78"/>
        <w:sz w:val="23"/>
        <w:szCs w:val="23"/>
        <w:lang w:val="pt-PT" w:eastAsia="en-US" w:bidi="ar-SA"/>
      </w:rPr>
    </w:lvl>
    <w:lvl w:ilvl="1" w:tentative="0">
      <w:start w:val="0"/>
      <w:numFmt w:val="bullet"/>
      <w:lvlText w:val="•"/>
      <w:lvlJc w:val="left"/>
      <w:pPr>
        <w:ind w:left="1160" w:hanging="142"/>
      </w:pPr>
      <w:rPr>
        <w:rFonts w:hint="default"/>
        <w:lang w:val="pt-PT" w:eastAsia="en-US" w:bidi="ar-SA"/>
      </w:rPr>
    </w:lvl>
    <w:lvl w:ilvl="2" w:tentative="0">
      <w:start w:val="0"/>
      <w:numFmt w:val="bullet"/>
      <w:lvlText w:val="•"/>
      <w:lvlJc w:val="left"/>
      <w:pPr>
        <w:ind w:left="2101" w:hanging="142"/>
      </w:pPr>
      <w:rPr>
        <w:rFonts w:hint="default"/>
        <w:lang w:val="pt-PT" w:eastAsia="en-US" w:bidi="ar-SA"/>
      </w:rPr>
    </w:lvl>
    <w:lvl w:ilvl="3" w:tentative="0">
      <w:start w:val="0"/>
      <w:numFmt w:val="bullet"/>
      <w:lvlText w:val="•"/>
      <w:lvlJc w:val="left"/>
      <w:pPr>
        <w:ind w:left="3041" w:hanging="142"/>
      </w:pPr>
      <w:rPr>
        <w:rFonts w:hint="default"/>
        <w:lang w:val="pt-PT" w:eastAsia="en-US" w:bidi="ar-SA"/>
      </w:rPr>
    </w:lvl>
    <w:lvl w:ilvl="4" w:tentative="0">
      <w:start w:val="0"/>
      <w:numFmt w:val="bullet"/>
      <w:lvlText w:val="•"/>
      <w:lvlJc w:val="left"/>
      <w:pPr>
        <w:ind w:left="3982" w:hanging="142"/>
      </w:pPr>
      <w:rPr>
        <w:rFonts w:hint="default"/>
        <w:lang w:val="pt-PT" w:eastAsia="en-US" w:bidi="ar-SA"/>
      </w:rPr>
    </w:lvl>
    <w:lvl w:ilvl="5" w:tentative="0">
      <w:start w:val="0"/>
      <w:numFmt w:val="bullet"/>
      <w:lvlText w:val="•"/>
      <w:lvlJc w:val="left"/>
      <w:pPr>
        <w:ind w:left="4923" w:hanging="142"/>
      </w:pPr>
      <w:rPr>
        <w:rFonts w:hint="default"/>
        <w:lang w:val="pt-PT" w:eastAsia="en-US" w:bidi="ar-SA"/>
      </w:rPr>
    </w:lvl>
    <w:lvl w:ilvl="6" w:tentative="0">
      <w:start w:val="0"/>
      <w:numFmt w:val="bullet"/>
      <w:lvlText w:val="•"/>
      <w:lvlJc w:val="left"/>
      <w:pPr>
        <w:ind w:left="5863" w:hanging="142"/>
      </w:pPr>
      <w:rPr>
        <w:rFonts w:hint="default"/>
        <w:lang w:val="pt-PT" w:eastAsia="en-US" w:bidi="ar-SA"/>
      </w:rPr>
    </w:lvl>
    <w:lvl w:ilvl="7" w:tentative="0">
      <w:start w:val="0"/>
      <w:numFmt w:val="bullet"/>
      <w:lvlText w:val="•"/>
      <w:lvlJc w:val="left"/>
      <w:pPr>
        <w:ind w:left="6804" w:hanging="142"/>
      </w:pPr>
      <w:rPr>
        <w:rFonts w:hint="default"/>
        <w:lang w:val="pt-PT" w:eastAsia="en-US" w:bidi="ar-SA"/>
      </w:rPr>
    </w:lvl>
    <w:lvl w:ilvl="8" w:tentative="0">
      <w:start w:val="0"/>
      <w:numFmt w:val="bullet"/>
      <w:lvlText w:val="•"/>
      <w:lvlJc w:val="left"/>
      <w:pPr>
        <w:ind w:left="7745" w:hanging="142"/>
      </w:pPr>
      <w:rPr>
        <w:rFonts w:hint="default"/>
        <w:lang w:val="pt-PT" w:eastAsia="en-US" w:bidi="ar-SA"/>
      </w:rPr>
    </w:lvl>
  </w:abstractNum>
  <w:abstractNum w:abstractNumId="6">
    <w:nsid w:val="2ECB6C15"/>
    <w:multiLevelType w:val="multilevel"/>
    <w:tmpl w:val="2ECB6C15"/>
    <w:lvl w:ilvl="0" w:tentative="0">
      <w:start w:val="17"/>
      <w:numFmt w:val="decimal"/>
      <w:lvlText w:val="%1."/>
      <w:lvlJc w:val="left"/>
      <w:pPr>
        <w:ind w:left="720" w:hanging="360"/>
      </w:pPr>
      <w:rPr>
        <w:rFonts w:hint="default"/>
        <w:b/>
        <w:sz w:val="24"/>
      </w:rPr>
    </w:lvl>
    <w:lvl w:ilvl="1" w:tentative="0">
      <w:start w:val="1"/>
      <w:numFmt w:val="decimal"/>
      <w:isLgl/>
      <w:lvlText w:val="%1.%2"/>
      <w:lvlJc w:val="left"/>
      <w:pPr>
        <w:ind w:left="735" w:hanging="375"/>
      </w:pPr>
      <w:rPr>
        <w:rFonts w:hint="default"/>
        <w:b/>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1800" w:hanging="1440"/>
      </w:pPr>
      <w:rPr>
        <w:rFonts w:hint="default"/>
      </w:rPr>
    </w:lvl>
  </w:abstractNum>
  <w:abstractNum w:abstractNumId="7">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8">
    <w:nsid w:val="3ED23EC1"/>
    <w:multiLevelType w:val="multilevel"/>
    <w:tmpl w:val="3ED23EC1"/>
    <w:lvl w:ilvl="0" w:tentative="0">
      <w:start w:val="1"/>
      <w:numFmt w:val="lowerRoman"/>
      <w:lvlText w:val="%1."/>
      <w:lvlJc w:val="left"/>
      <w:pPr>
        <w:ind w:left="1080" w:hanging="720"/>
      </w:pPr>
      <w:rPr>
        <w:b w:val="0"/>
        <w:bCs w:val="0"/>
      </w:rPr>
    </w:lvl>
    <w:lvl w:ilvl="1" w:tentative="0">
      <w:start w:val="1"/>
      <w:numFmt w:val="lowerLetter"/>
      <w:lvlText w:val="%2)"/>
      <w:lvlJc w:val="left"/>
      <w:pPr>
        <w:ind w:left="1440" w:hanging="360"/>
      </w:pPr>
      <w:rPr>
        <w:rFonts w:ascii="Times New Roman" w:hAnsi="Times New Roman" w:eastAsia="Calibri" w:cs="Times New Roman"/>
        <w:b/>
        <w:bCs/>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0ED7B5A"/>
    <w:multiLevelType w:val="multilevel"/>
    <w:tmpl w:val="40ED7B5A"/>
    <w:lvl w:ilvl="0" w:tentative="0">
      <w:start w:val="4"/>
      <w:numFmt w:val="decimal"/>
      <w:lvlText w:val="%1."/>
      <w:lvlJc w:val="left"/>
      <w:pPr>
        <w:ind w:left="442" w:hanging="221"/>
      </w:pPr>
      <w:rPr>
        <w:rFonts w:hint="default" w:ascii="Arial" w:hAnsi="Arial" w:eastAsia="Arial" w:cs="Arial"/>
        <w:b/>
        <w:bCs/>
        <w:i w:val="0"/>
        <w:iCs w:val="0"/>
        <w:spacing w:val="0"/>
        <w:w w:val="82"/>
        <w:sz w:val="24"/>
        <w:szCs w:val="24"/>
        <w:lang w:val="pt-PT" w:eastAsia="en-US" w:bidi="ar-SA"/>
      </w:rPr>
    </w:lvl>
    <w:lvl w:ilvl="1" w:tentative="0">
      <w:start w:val="1"/>
      <w:numFmt w:val="lowerLetter"/>
      <w:lvlText w:val="%2)"/>
      <w:lvlJc w:val="left"/>
      <w:pPr>
        <w:ind w:left="222" w:hanging="322"/>
      </w:pPr>
      <w:rPr>
        <w:rFonts w:hint="default" w:eastAsia="Arial MT" w:asciiTheme="minorHAnsi" w:hAnsiTheme="minorHAnsi" w:cstheme="minorHAnsi"/>
        <w:b/>
        <w:bCs/>
        <w:i w:val="0"/>
        <w:iCs w:val="0"/>
        <w:spacing w:val="0"/>
        <w:w w:val="81"/>
        <w:sz w:val="24"/>
        <w:szCs w:val="24"/>
        <w:lang w:val="pt-PT" w:eastAsia="en-US" w:bidi="ar-SA"/>
      </w:rPr>
    </w:lvl>
    <w:lvl w:ilvl="2" w:tentative="0">
      <w:start w:val="0"/>
      <w:numFmt w:val="bullet"/>
      <w:lvlText w:val="•"/>
      <w:lvlJc w:val="left"/>
      <w:pPr>
        <w:ind w:left="1460" w:hanging="322"/>
      </w:pPr>
      <w:rPr>
        <w:rFonts w:hint="default"/>
        <w:lang w:val="pt-PT" w:eastAsia="en-US" w:bidi="ar-SA"/>
      </w:rPr>
    </w:lvl>
    <w:lvl w:ilvl="3" w:tentative="0">
      <w:start w:val="0"/>
      <w:numFmt w:val="bullet"/>
      <w:lvlText w:val="•"/>
      <w:lvlJc w:val="left"/>
      <w:pPr>
        <w:ind w:left="2481" w:hanging="322"/>
      </w:pPr>
      <w:rPr>
        <w:rFonts w:hint="default"/>
        <w:lang w:val="pt-PT" w:eastAsia="en-US" w:bidi="ar-SA"/>
      </w:rPr>
    </w:lvl>
    <w:lvl w:ilvl="4" w:tentative="0">
      <w:start w:val="0"/>
      <w:numFmt w:val="bullet"/>
      <w:lvlText w:val="•"/>
      <w:lvlJc w:val="left"/>
      <w:pPr>
        <w:ind w:left="3502" w:hanging="322"/>
      </w:pPr>
      <w:rPr>
        <w:rFonts w:hint="default"/>
        <w:lang w:val="pt-PT" w:eastAsia="en-US" w:bidi="ar-SA"/>
      </w:rPr>
    </w:lvl>
    <w:lvl w:ilvl="5" w:tentative="0">
      <w:start w:val="0"/>
      <w:numFmt w:val="bullet"/>
      <w:lvlText w:val="•"/>
      <w:lvlJc w:val="left"/>
      <w:pPr>
        <w:ind w:left="4522" w:hanging="322"/>
      </w:pPr>
      <w:rPr>
        <w:rFonts w:hint="default"/>
        <w:lang w:val="pt-PT" w:eastAsia="en-US" w:bidi="ar-SA"/>
      </w:rPr>
    </w:lvl>
    <w:lvl w:ilvl="6" w:tentative="0">
      <w:start w:val="0"/>
      <w:numFmt w:val="bullet"/>
      <w:lvlText w:val="•"/>
      <w:lvlJc w:val="left"/>
      <w:pPr>
        <w:ind w:left="5543" w:hanging="322"/>
      </w:pPr>
      <w:rPr>
        <w:rFonts w:hint="default"/>
        <w:lang w:val="pt-PT" w:eastAsia="en-US" w:bidi="ar-SA"/>
      </w:rPr>
    </w:lvl>
    <w:lvl w:ilvl="7" w:tentative="0">
      <w:start w:val="0"/>
      <w:numFmt w:val="bullet"/>
      <w:lvlText w:val="•"/>
      <w:lvlJc w:val="left"/>
      <w:pPr>
        <w:ind w:left="6564" w:hanging="322"/>
      </w:pPr>
      <w:rPr>
        <w:rFonts w:hint="default"/>
        <w:lang w:val="pt-PT" w:eastAsia="en-US" w:bidi="ar-SA"/>
      </w:rPr>
    </w:lvl>
    <w:lvl w:ilvl="8" w:tentative="0">
      <w:start w:val="0"/>
      <w:numFmt w:val="bullet"/>
      <w:lvlText w:val="•"/>
      <w:lvlJc w:val="left"/>
      <w:pPr>
        <w:ind w:left="7584" w:hanging="322"/>
      </w:pPr>
      <w:rPr>
        <w:rFonts w:hint="default"/>
        <w:lang w:val="pt-PT" w:eastAsia="en-US" w:bidi="ar-SA"/>
      </w:rPr>
    </w:lvl>
  </w:abstractNum>
  <w:abstractNum w:abstractNumId="10">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1">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12">
    <w:nsid w:val="4CA518EB"/>
    <w:multiLevelType w:val="multilevel"/>
    <w:tmpl w:val="4CA518EB"/>
    <w:lvl w:ilvl="0" w:tentative="0">
      <w:start w:val="1"/>
      <w:numFmt w:val="lowerLetter"/>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E641473"/>
    <w:multiLevelType w:val="multilevel"/>
    <w:tmpl w:val="4E641473"/>
    <w:lvl w:ilvl="0" w:tentative="0">
      <w:start w:val="1"/>
      <w:numFmt w:val="decimal"/>
      <w:lvlText w:val="%1"/>
      <w:lvlJc w:val="left"/>
      <w:pPr>
        <w:ind w:left="560" w:hanging="188"/>
      </w:pPr>
      <w:rPr>
        <w:rFonts w:hint="default" w:ascii="Times New Roman" w:hAnsi="Times New Roman" w:eastAsia="Times New Roman" w:cs="Times New Roman"/>
        <w:b w:val="0"/>
        <w:bCs w:val="0"/>
        <w:i w:val="0"/>
        <w:iCs w:val="0"/>
        <w:spacing w:val="0"/>
        <w:w w:val="99"/>
        <w:sz w:val="20"/>
        <w:szCs w:val="20"/>
        <w:lang w:val="pt-PT" w:eastAsia="en-US" w:bidi="ar-SA"/>
      </w:rPr>
    </w:lvl>
    <w:lvl w:ilvl="1" w:tentative="0">
      <w:start w:val="0"/>
      <w:numFmt w:val="bullet"/>
      <w:lvlText w:val="•"/>
      <w:lvlJc w:val="left"/>
      <w:pPr>
        <w:ind w:left="1466" w:hanging="188"/>
      </w:pPr>
      <w:rPr>
        <w:rFonts w:hint="default"/>
        <w:lang w:val="pt-PT" w:eastAsia="en-US" w:bidi="ar-SA"/>
      </w:rPr>
    </w:lvl>
    <w:lvl w:ilvl="2" w:tentative="0">
      <w:start w:val="0"/>
      <w:numFmt w:val="bullet"/>
      <w:lvlText w:val="•"/>
      <w:lvlJc w:val="left"/>
      <w:pPr>
        <w:ind w:left="2373" w:hanging="188"/>
      </w:pPr>
      <w:rPr>
        <w:rFonts w:hint="default"/>
        <w:lang w:val="pt-PT" w:eastAsia="en-US" w:bidi="ar-SA"/>
      </w:rPr>
    </w:lvl>
    <w:lvl w:ilvl="3" w:tentative="0">
      <w:start w:val="0"/>
      <w:numFmt w:val="bullet"/>
      <w:lvlText w:val="•"/>
      <w:lvlJc w:val="left"/>
      <w:pPr>
        <w:ind w:left="3279" w:hanging="188"/>
      </w:pPr>
      <w:rPr>
        <w:rFonts w:hint="default"/>
        <w:lang w:val="pt-PT" w:eastAsia="en-US" w:bidi="ar-SA"/>
      </w:rPr>
    </w:lvl>
    <w:lvl w:ilvl="4" w:tentative="0">
      <w:start w:val="0"/>
      <w:numFmt w:val="bullet"/>
      <w:lvlText w:val="•"/>
      <w:lvlJc w:val="left"/>
      <w:pPr>
        <w:ind w:left="4186" w:hanging="188"/>
      </w:pPr>
      <w:rPr>
        <w:rFonts w:hint="default"/>
        <w:lang w:val="pt-PT" w:eastAsia="en-US" w:bidi="ar-SA"/>
      </w:rPr>
    </w:lvl>
    <w:lvl w:ilvl="5" w:tentative="0">
      <w:start w:val="0"/>
      <w:numFmt w:val="bullet"/>
      <w:lvlText w:val="•"/>
      <w:lvlJc w:val="left"/>
      <w:pPr>
        <w:ind w:left="5093" w:hanging="188"/>
      </w:pPr>
      <w:rPr>
        <w:rFonts w:hint="default"/>
        <w:lang w:val="pt-PT" w:eastAsia="en-US" w:bidi="ar-SA"/>
      </w:rPr>
    </w:lvl>
    <w:lvl w:ilvl="6" w:tentative="0">
      <w:start w:val="0"/>
      <w:numFmt w:val="bullet"/>
      <w:lvlText w:val="•"/>
      <w:lvlJc w:val="left"/>
      <w:pPr>
        <w:ind w:left="5999" w:hanging="188"/>
      </w:pPr>
      <w:rPr>
        <w:rFonts w:hint="default"/>
        <w:lang w:val="pt-PT" w:eastAsia="en-US" w:bidi="ar-SA"/>
      </w:rPr>
    </w:lvl>
    <w:lvl w:ilvl="7" w:tentative="0">
      <w:start w:val="0"/>
      <w:numFmt w:val="bullet"/>
      <w:lvlText w:val="•"/>
      <w:lvlJc w:val="left"/>
      <w:pPr>
        <w:ind w:left="6906" w:hanging="188"/>
      </w:pPr>
      <w:rPr>
        <w:rFonts w:hint="default"/>
        <w:lang w:val="pt-PT" w:eastAsia="en-US" w:bidi="ar-SA"/>
      </w:rPr>
    </w:lvl>
    <w:lvl w:ilvl="8" w:tentative="0">
      <w:start w:val="0"/>
      <w:numFmt w:val="bullet"/>
      <w:lvlText w:val="•"/>
      <w:lvlJc w:val="left"/>
      <w:pPr>
        <w:ind w:left="7813" w:hanging="188"/>
      </w:pPr>
      <w:rPr>
        <w:rFonts w:hint="default"/>
        <w:lang w:val="pt-PT" w:eastAsia="en-US" w:bidi="ar-SA"/>
      </w:rPr>
    </w:lvl>
  </w:abstractNum>
  <w:abstractNum w:abstractNumId="14">
    <w:nsid w:val="5376247C"/>
    <w:multiLevelType w:val="multilevel"/>
    <w:tmpl w:val="5376247C"/>
    <w:lvl w:ilvl="0" w:tentative="0">
      <w:start w:val="14"/>
      <w:numFmt w:val="decimal"/>
      <w:lvlText w:val="%1"/>
      <w:lvlJc w:val="left"/>
      <w:pPr>
        <w:ind w:left="375" w:hanging="375"/>
      </w:pPr>
      <w:rPr>
        <w:rFonts w:hint="default"/>
      </w:rPr>
    </w:lvl>
    <w:lvl w:ilvl="1" w:tentative="0">
      <w:start w:val="1"/>
      <w:numFmt w:val="decimal"/>
      <w:lvlText w:val="%1.%2"/>
      <w:lvlJc w:val="left"/>
      <w:pPr>
        <w:ind w:left="375" w:hanging="375"/>
      </w:pPr>
      <w:rPr>
        <w:rFonts w:hint="default"/>
        <w:b/>
        <w:bCs/>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5">
    <w:nsid w:val="54307924"/>
    <w:multiLevelType w:val="multilevel"/>
    <w:tmpl w:val="54307924"/>
    <w:lvl w:ilvl="0" w:tentative="0">
      <w:start w:val="16"/>
      <w:numFmt w:val="decimal"/>
      <w:lvlText w:val="%1"/>
      <w:lvlJc w:val="left"/>
      <w:pPr>
        <w:ind w:left="375" w:hanging="375"/>
      </w:pPr>
      <w:rPr>
        <w:rFonts w:hint="default"/>
      </w:rPr>
    </w:lvl>
    <w:lvl w:ilvl="1" w:tentative="0">
      <w:start w:val="5"/>
      <w:numFmt w:val="decimal"/>
      <w:lvlText w:val="%1.%2"/>
      <w:lvlJc w:val="left"/>
      <w:pPr>
        <w:ind w:left="375" w:hanging="375"/>
      </w:pPr>
      <w:rPr>
        <w:rFonts w:hint="default"/>
        <w:b/>
        <w:bCs/>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6">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7">
    <w:nsid w:val="625074B1"/>
    <w:multiLevelType w:val="multilevel"/>
    <w:tmpl w:val="625074B1"/>
    <w:lvl w:ilvl="0" w:tentative="0">
      <w:start w:val="1"/>
      <w:numFmt w:val="upperRoman"/>
      <w:lvlText w:val="%1"/>
      <w:lvlJc w:val="left"/>
      <w:pPr>
        <w:ind w:left="1354" w:hanging="123"/>
      </w:pPr>
      <w:rPr>
        <w:rFonts w:hint="default" w:ascii="Arial MT" w:hAnsi="Arial MT" w:eastAsia="Arial MT" w:cs="Arial MT"/>
        <w:b w:val="0"/>
        <w:bCs w:val="0"/>
        <w:i w:val="0"/>
        <w:iCs w:val="0"/>
        <w:spacing w:val="0"/>
        <w:w w:val="82"/>
        <w:sz w:val="24"/>
        <w:szCs w:val="24"/>
        <w:lang w:val="pt-PT" w:eastAsia="en-US" w:bidi="ar-SA"/>
      </w:rPr>
    </w:lvl>
    <w:lvl w:ilvl="1" w:tentative="0">
      <w:start w:val="0"/>
      <w:numFmt w:val="bullet"/>
      <w:lvlText w:val="•"/>
      <w:lvlJc w:val="left"/>
      <w:pPr>
        <w:ind w:left="2186" w:hanging="123"/>
      </w:pPr>
      <w:rPr>
        <w:rFonts w:hint="default"/>
        <w:lang w:val="pt-PT" w:eastAsia="en-US" w:bidi="ar-SA"/>
      </w:rPr>
    </w:lvl>
    <w:lvl w:ilvl="2" w:tentative="0">
      <w:start w:val="0"/>
      <w:numFmt w:val="bullet"/>
      <w:lvlText w:val="•"/>
      <w:lvlJc w:val="left"/>
      <w:pPr>
        <w:ind w:left="3013" w:hanging="123"/>
      </w:pPr>
      <w:rPr>
        <w:rFonts w:hint="default"/>
        <w:lang w:val="pt-PT" w:eastAsia="en-US" w:bidi="ar-SA"/>
      </w:rPr>
    </w:lvl>
    <w:lvl w:ilvl="3" w:tentative="0">
      <w:start w:val="0"/>
      <w:numFmt w:val="bullet"/>
      <w:lvlText w:val="•"/>
      <w:lvlJc w:val="left"/>
      <w:pPr>
        <w:ind w:left="3839" w:hanging="123"/>
      </w:pPr>
      <w:rPr>
        <w:rFonts w:hint="default"/>
        <w:lang w:val="pt-PT" w:eastAsia="en-US" w:bidi="ar-SA"/>
      </w:rPr>
    </w:lvl>
    <w:lvl w:ilvl="4" w:tentative="0">
      <w:start w:val="0"/>
      <w:numFmt w:val="bullet"/>
      <w:lvlText w:val="•"/>
      <w:lvlJc w:val="left"/>
      <w:pPr>
        <w:ind w:left="4666" w:hanging="123"/>
      </w:pPr>
      <w:rPr>
        <w:rFonts w:hint="default"/>
        <w:lang w:val="pt-PT" w:eastAsia="en-US" w:bidi="ar-SA"/>
      </w:rPr>
    </w:lvl>
    <w:lvl w:ilvl="5" w:tentative="0">
      <w:start w:val="0"/>
      <w:numFmt w:val="bullet"/>
      <w:lvlText w:val="•"/>
      <w:lvlJc w:val="left"/>
      <w:pPr>
        <w:ind w:left="5493" w:hanging="123"/>
      </w:pPr>
      <w:rPr>
        <w:rFonts w:hint="default"/>
        <w:lang w:val="pt-PT" w:eastAsia="en-US" w:bidi="ar-SA"/>
      </w:rPr>
    </w:lvl>
    <w:lvl w:ilvl="6" w:tentative="0">
      <w:start w:val="0"/>
      <w:numFmt w:val="bullet"/>
      <w:lvlText w:val="•"/>
      <w:lvlJc w:val="left"/>
      <w:pPr>
        <w:ind w:left="6319" w:hanging="123"/>
      </w:pPr>
      <w:rPr>
        <w:rFonts w:hint="default"/>
        <w:lang w:val="pt-PT" w:eastAsia="en-US" w:bidi="ar-SA"/>
      </w:rPr>
    </w:lvl>
    <w:lvl w:ilvl="7" w:tentative="0">
      <w:start w:val="0"/>
      <w:numFmt w:val="bullet"/>
      <w:lvlText w:val="•"/>
      <w:lvlJc w:val="left"/>
      <w:pPr>
        <w:ind w:left="7146" w:hanging="123"/>
      </w:pPr>
      <w:rPr>
        <w:rFonts w:hint="default"/>
        <w:lang w:val="pt-PT" w:eastAsia="en-US" w:bidi="ar-SA"/>
      </w:rPr>
    </w:lvl>
    <w:lvl w:ilvl="8" w:tentative="0">
      <w:start w:val="0"/>
      <w:numFmt w:val="bullet"/>
      <w:lvlText w:val="•"/>
      <w:lvlJc w:val="left"/>
      <w:pPr>
        <w:ind w:left="7973" w:hanging="123"/>
      </w:pPr>
      <w:rPr>
        <w:rFonts w:hint="default"/>
        <w:lang w:val="pt-PT" w:eastAsia="en-US" w:bidi="ar-SA"/>
      </w:rPr>
    </w:lvl>
  </w:abstractNum>
  <w:abstractNum w:abstractNumId="18">
    <w:nsid w:val="76B71452"/>
    <w:multiLevelType w:val="multilevel"/>
    <w:tmpl w:val="76B71452"/>
    <w:lvl w:ilvl="0" w:tentative="0">
      <w:start w:val="0"/>
      <w:numFmt w:val="bullet"/>
      <w:lvlText w:val="•"/>
      <w:lvlJc w:val="left"/>
      <w:pPr>
        <w:ind w:left="222" w:hanging="142"/>
      </w:pPr>
      <w:rPr>
        <w:rFonts w:hint="default" w:ascii="Arial MT" w:hAnsi="Arial MT" w:eastAsia="Arial MT" w:cs="Arial MT"/>
        <w:b w:val="0"/>
        <w:bCs w:val="0"/>
        <w:i w:val="0"/>
        <w:iCs w:val="0"/>
        <w:spacing w:val="0"/>
        <w:w w:val="82"/>
        <w:sz w:val="24"/>
        <w:szCs w:val="24"/>
        <w:lang w:val="pt-PT" w:eastAsia="en-US" w:bidi="ar-SA"/>
      </w:rPr>
    </w:lvl>
    <w:lvl w:ilvl="1" w:tentative="0">
      <w:start w:val="0"/>
      <w:numFmt w:val="bullet"/>
      <w:lvlText w:val="•"/>
      <w:lvlJc w:val="left"/>
      <w:pPr>
        <w:ind w:left="1160" w:hanging="142"/>
      </w:pPr>
      <w:rPr>
        <w:rFonts w:hint="default"/>
        <w:lang w:val="pt-PT" w:eastAsia="en-US" w:bidi="ar-SA"/>
      </w:rPr>
    </w:lvl>
    <w:lvl w:ilvl="2" w:tentative="0">
      <w:start w:val="0"/>
      <w:numFmt w:val="bullet"/>
      <w:lvlText w:val="•"/>
      <w:lvlJc w:val="left"/>
      <w:pPr>
        <w:ind w:left="2101" w:hanging="142"/>
      </w:pPr>
      <w:rPr>
        <w:rFonts w:hint="default"/>
        <w:lang w:val="pt-PT" w:eastAsia="en-US" w:bidi="ar-SA"/>
      </w:rPr>
    </w:lvl>
    <w:lvl w:ilvl="3" w:tentative="0">
      <w:start w:val="0"/>
      <w:numFmt w:val="bullet"/>
      <w:lvlText w:val="•"/>
      <w:lvlJc w:val="left"/>
      <w:pPr>
        <w:ind w:left="3041" w:hanging="142"/>
      </w:pPr>
      <w:rPr>
        <w:rFonts w:hint="default"/>
        <w:lang w:val="pt-PT" w:eastAsia="en-US" w:bidi="ar-SA"/>
      </w:rPr>
    </w:lvl>
    <w:lvl w:ilvl="4" w:tentative="0">
      <w:start w:val="0"/>
      <w:numFmt w:val="bullet"/>
      <w:lvlText w:val="•"/>
      <w:lvlJc w:val="left"/>
      <w:pPr>
        <w:ind w:left="3982" w:hanging="142"/>
      </w:pPr>
      <w:rPr>
        <w:rFonts w:hint="default"/>
        <w:lang w:val="pt-PT" w:eastAsia="en-US" w:bidi="ar-SA"/>
      </w:rPr>
    </w:lvl>
    <w:lvl w:ilvl="5" w:tentative="0">
      <w:start w:val="0"/>
      <w:numFmt w:val="bullet"/>
      <w:lvlText w:val="•"/>
      <w:lvlJc w:val="left"/>
      <w:pPr>
        <w:ind w:left="4923" w:hanging="142"/>
      </w:pPr>
      <w:rPr>
        <w:rFonts w:hint="default"/>
        <w:lang w:val="pt-PT" w:eastAsia="en-US" w:bidi="ar-SA"/>
      </w:rPr>
    </w:lvl>
    <w:lvl w:ilvl="6" w:tentative="0">
      <w:start w:val="0"/>
      <w:numFmt w:val="bullet"/>
      <w:lvlText w:val="•"/>
      <w:lvlJc w:val="left"/>
      <w:pPr>
        <w:ind w:left="5863" w:hanging="142"/>
      </w:pPr>
      <w:rPr>
        <w:rFonts w:hint="default"/>
        <w:lang w:val="pt-PT" w:eastAsia="en-US" w:bidi="ar-SA"/>
      </w:rPr>
    </w:lvl>
    <w:lvl w:ilvl="7" w:tentative="0">
      <w:start w:val="0"/>
      <w:numFmt w:val="bullet"/>
      <w:lvlText w:val="•"/>
      <w:lvlJc w:val="left"/>
      <w:pPr>
        <w:ind w:left="6804" w:hanging="142"/>
      </w:pPr>
      <w:rPr>
        <w:rFonts w:hint="default"/>
        <w:lang w:val="pt-PT" w:eastAsia="en-US" w:bidi="ar-SA"/>
      </w:rPr>
    </w:lvl>
    <w:lvl w:ilvl="8" w:tentative="0">
      <w:start w:val="0"/>
      <w:numFmt w:val="bullet"/>
      <w:lvlText w:val="•"/>
      <w:lvlJc w:val="left"/>
      <w:pPr>
        <w:ind w:left="7745" w:hanging="142"/>
      </w:pPr>
      <w:rPr>
        <w:rFonts w:hint="default"/>
        <w:lang w:val="pt-PT" w:eastAsia="en-US" w:bidi="ar-SA"/>
      </w:rPr>
    </w:lvl>
  </w:abstractNum>
  <w:num w:numId="1">
    <w:abstractNumId w:val="0"/>
  </w:num>
  <w:num w:numId="2">
    <w:abstractNumId w:val="16"/>
  </w:num>
  <w:num w:numId="3">
    <w:abstractNumId w:val="4"/>
  </w:num>
  <w:num w:numId="4">
    <w:abstractNumId w:val="11"/>
  </w:num>
  <w:num w:numId="5">
    <w:abstractNumId w:val="7"/>
  </w:num>
  <w:num w:numId="6">
    <w:abstractNumId w:val="3"/>
  </w:num>
  <w:num w:numId="7">
    <w:abstractNumId w:val="12"/>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6"/>
  </w:num>
  <w:num w:numId="13">
    <w:abstractNumId w:val="13"/>
  </w:num>
  <w:num w:numId="14">
    <w:abstractNumId w:val="17"/>
  </w:num>
  <w:num w:numId="15">
    <w:abstractNumId w:val="9"/>
  </w:num>
  <w:num w:numId="16">
    <w:abstractNumId w:val="18"/>
  </w:num>
  <w:num w:numId="17">
    <w:abstractNumId w:val="5"/>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0416D"/>
    <w:rsid w:val="00117C41"/>
    <w:rsid w:val="00117CB9"/>
    <w:rsid w:val="00126C9A"/>
    <w:rsid w:val="00132AF6"/>
    <w:rsid w:val="00134E13"/>
    <w:rsid w:val="00136938"/>
    <w:rsid w:val="00136F6E"/>
    <w:rsid w:val="00153F3B"/>
    <w:rsid w:val="00166543"/>
    <w:rsid w:val="001672D9"/>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20256"/>
    <w:rsid w:val="004253EA"/>
    <w:rsid w:val="0043458B"/>
    <w:rsid w:val="00436E02"/>
    <w:rsid w:val="00454E42"/>
    <w:rsid w:val="00461DE5"/>
    <w:rsid w:val="0047114A"/>
    <w:rsid w:val="00476260"/>
    <w:rsid w:val="00477786"/>
    <w:rsid w:val="00492280"/>
    <w:rsid w:val="00493819"/>
    <w:rsid w:val="0049763F"/>
    <w:rsid w:val="00497AF6"/>
    <w:rsid w:val="004A4E9A"/>
    <w:rsid w:val="004C63EB"/>
    <w:rsid w:val="004D591E"/>
    <w:rsid w:val="004E2B2D"/>
    <w:rsid w:val="004E56E8"/>
    <w:rsid w:val="004E7E4B"/>
    <w:rsid w:val="004F38C4"/>
    <w:rsid w:val="004F662C"/>
    <w:rsid w:val="004F7B84"/>
    <w:rsid w:val="00501A90"/>
    <w:rsid w:val="005251A9"/>
    <w:rsid w:val="005365B5"/>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B018F"/>
    <w:rsid w:val="006C60D8"/>
    <w:rsid w:val="006D755A"/>
    <w:rsid w:val="006F6348"/>
    <w:rsid w:val="00704A77"/>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4887"/>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3FA2"/>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4DB6"/>
    <w:rsid w:val="00CD7C56"/>
    <w:rsid w:val="00CE4BEB"/>
    <w:rsid w:val="00CF767F"/>
    <w:rsid w:val="00D03E66"/>
    <w:rsid w:val="00D24215"/>
    <w:rsid w:val="00D27F7C"/>
    <w:rsid w:val="00D43FBE"/>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5805"/>
    <w:rsid w:val="00E975C8"/>
    <w:rsid w:val="00EA221C"/>
    <w:rsid w:val="00EB0614"/>
    <w:rsid w:val="00EB2425"/>
    <w:rsid w:val="00EB5C39"/>
    <w:rsid w:val="00EC15C9"/>
    <w:rsid w:val="00EC5BC1"/>
    <w:rsid w:val="00ED316C"/>
    <w:rsid w:val="00EF0DE4"/>
    <w:rsid w:val="00EF51C9"/>
    <w:rsid w:val="00F10746"/>
    <w:rsid w:val="00F13D82"/>
    <w:rsid w:val="00F313C7"/>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3A3E6C8A"/>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uiPriority w:val="0"/>
    <w:rPr>
      <w:rFonts w:cs="Mangal"/>
    </w:rPr>
  </w:style>
  <w:style w:type="paragraph" w:customStyle="1" w:styleId="18">
    <w:name w:val="Text body"/>
    <w:basedOn w:val="19"/>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49"/>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uiPriority w:val="0"/>
    <w:rPr>
      <w:rFonts w:ascii="Calibri Light" w:hAnsi="Calibri Light"/>
      <w:i/>
      <w:iCs/>
      <w:color w:val="1F3763"/>
      <w:sz w:val="22"/>
      <w:szCs w:val="22"/>
    </w:rPr>
  </w:style>
  <w:style w:type="character" w:customStyle="1" w:styleId="45">
    <w:name w:val="Corpo de texto Char"/>
    <w:basedOn w:val="9"/>
    <w:link w:val="20"/>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uiPriority w:val="0"/>
    <w:rPr>
      <w:rFonts w:asciiTheme="minorHAnsi" w:hAnsiTheme="minorHAnsi" w:eastAsiaTheme="minorHAnsi" w:cstheme="minorBidi"/>
      <w:b/>
      <w:bCs/>
      <w:lang w:eastAsia="en-US"/>
    </w:rPr>
  </w:style>
  <w:style w:type="character" w:customStyle="1" w:styleId="53">
    <w:name w:val="Texto de comentário Char1"/>
    <w:basedOn w:val="9"/>
    <w:semiHidden/>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0"/>
    <w:rPr>
      <w:rFonts w:ascii="Georgia" w:hAnsi="Georgia" w:eastAsia="Georgia" w:cs="Georgia"/>
      <w:i/>
      <w:color w:val="666666"/>
      <w:sz w:val="48"/>
      <w:szCs w:val="48"/>
    </w:rPr>
  </w:style>
  <w:style w:type="character" w:customStyle="1" w:styleId="58">
    <w:name w:val="Texto de nota de rodapé Char"/>
    <w:basedOn w:val="9"/>
    <w:link w:val="34"/>
    <w:uiPriority w:val="99"/>
    <w:rPr>
      <w:rFonts w:asciiTheme="minorHAnsi" w:hAnsiTheme="minorHAnsi" w:eastAsiaTheme="minorHAnsi" w:cstheme="minorBidi"/>
      <w:lang w:eastAsia="en-US"/>
    </w:rPr>
  </w:style>
  <w:style w:type="character" w:customStyle="1" w:styleId="59">
    <w:name w:val="Recuo de corpo de texto Char"/>
    <w:basedOn w:val="9"/>
    <w:link w:val="36"/>
    <w:uiPriority w:val="0"/>
    <w:rPr>
      <w:rFonts w:ascii="Century Gothic" w:hAnsi="Century Gothic" w:eastAsia="Century Gothic" w:cs="Century Gothic"/>
      <w:sz w:val="22"/>
      <w:szCs w:val="22"/>
      <w:lang w:val="pt-PT" w:eastAsia="en-US"/>
    </w:rPr>
  </w:style>
  <w:style w:type="table" w:customStyle="1" w:styleId="60">
    <w:name w:val="Table Normal"/>
    <w:qFormat/>
    <w:uiPriority w:val="2"/>
    <w:tblPr>
      <w:tblCellMar>
        <w:top w:w="0" w:type="dxa"/>
        <w:left w:w="0" w:type="dxa"/>
        <w:bottom w:w="0" w:type="dxa"/>
        <w:right w:w="0" w:type="dxa"/>
      </w:tblCellMar>
    </w:tblPr>
  </w:style>
  <w:style w:type="paragraph" w:styleId="61">
    <w:name w:val="List Paragraph"/>
    <w:basedOn w:val="1"/>
    <w:link w:val="62"/>
    <w:qFormat/>
    <w:uiPriority w:val="1"/>
    <w:pPr>
      <w:ind w:left="720"/>
      <w:contextualSpacing/>
    </w:pPr>
  </w:style>
  <w:style w:type="character" w:customStyle="1" w:styleId="62">
    <w:name w:val="Parágrafo da Lista Char"/>
    <w:link w:val="61"/>
    <w:qFormat/>
    <w:uiPriority w:val="34"/>
  </w:style>
  <w:style w:type="table" w:customStyle="1" w:styleId="63">
    <w:name w:val="_Style 17"/>
    <w:basedOn w:val="60"/>
    <w:uiPriority w:val="0"/>
    <w:tblPr>
      <w:tblCellMar>
        <w:left w:w="115" w:type="dxa"/>
        <w:right w:w="115" w:type="dxa"/>
      </w:tblCellMar>
    </w:tblPr>
  </w:style>
  <w:style w:type="table" w:customStyle="1" w:styleId="64">
    <w:name w:val="_Style 18"/>
    <w:basedOn w:val="60"/>
    <w:uiPriority w:val="0"/>
    <w:tblPr>
      <w:tblCellMar>
        <w:left w:w="115" w:type="dxa"/>
        <w:right w:w="115" w:type="dxa"/>
      </w:tblCellMar>
    </w:tblPr>
  </w:style>
  <w:style w:type="table" w:customStyle="1" w:styleId="65">
    <w:name w:val="_Style 19"/>
    <w:basedOn w:val="60"/>
    <w:uiPriority w:val="0"/>
    <w:tblPr>
      <w:tblCellMar>
        <w:left w:w="115" w:type="dxa"/>
        <w:right w:w="115" w:type="dxa"/>
      </w:tblCellMar>
    </w:tblPr>
  </w:style>
  <w:style w:type="table" w:customStyle="1" w:styleId="66">
    <w:name w:val="_Style 20"/>
    <w:basedOn w:val="60"/>
    <w:uiPriority w:val="0"/>
    <w:tblPr>
      <w:tblCellMar>
        <w:left w:w="115" w:type="dxa"/>
        <w:right w:w="115" w:type="dxa"/>
      </w:tblCellMar>
    </w:tblPr>
  </w:style>
  <w:style w:type="table" w:customStyle="1" w:styleId="67">
    <w:name w:val="_Style 21"/>
    <w:basedOn w:val="60"/>
    <w:uiPriority w:val="0"/>
    <w:tblPr>
      <w:tblCellMar>
        <w:left w:w="115" w:type="dxa"/>
        <w:right w:w="115" w:type="dxa"/>
      </w:tblCellMar>
    </w:tblPr>
  </w:style>
  <w:style w:type="table" w:customStyle="1" w:styleId="68">
    <w:name w:val="_Style 22"/>
    <w:basedOn w:val="60"/>
    <w:uiPriority w:val="0"/>
    <w:tblPr>
      <w:tblCellMar>
        <w:left w:w="115" w:type="dxa"/>
        <w:right w:w="115" w:type="dxa"/>
      </w:tblCellMar>
    </w:tblPr>
  </w:style>
  <w:style w:type="table" w:customStyle="1" w:styleId="69">
    <w:name w:val="_Style 23"/>
    <w:basedOn w:val="60"/>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uiPriority w:val="0"/>
    <w:pPr>
      <w:keepNext/>
      <w:spacing w:before="240" w:after="120"/>
    </w:pPr>
    <w:rPr>
      <w:rFonts w:ascii="Liberation Sans" w:hAnsi="Liberation Sans" w:eastAsia="Microsoft YaHei" w:cs="Mangal"/>
      <w:sz w:val="28"/>
      <w:szCs w:val="28"/>
    </w:rPr>
  </w:style>
  <w:style w:type="paragraph" w:customStyle="1" w:styleId="134">
    <w:name w:val="Index"/>
    <w:basedOn w:val="19"/>
    <w:uiPriority w:val="0"/>
    <w:pPr>
      <w:suppressLineNumbers/>
    </w:pPr>
    <w:rPr>
      <w:rFonts w:cs="Mangal"/>
    </w:rPr>
  </w:style>
  <w:style w:type="paragraph" w:customStyle="1" w:styleId="135">
    <w:name w:val="footnote description"/>
    <w:next w:val="19"/>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uiPriority w:val="0"/>
  </w:style>
  <w:style w:type="paragraph" w:customStyle="1" w:styleId="137">
    <w:name w:val="Table Contents"/>
    <w:basedOn w:val="19"/>
    <w:uiPriority w:val="0"/>
    <w:pPr>
      <w:suppressLineNumbers/>
    </w:pPr>
  </w:style>
  <w:style w:type="paragraph" w:customStyle="1" w:styleId="138">
    <w:name w:val="Table Heading"/>
    <w:basedOn w:val="137"/>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uiPriority w:val="0"/>
    <w:rPr>
      <w:rFonts w:ascii="Liberation Serif" w:hAnsi="Liberation Serif" w:eastAsia="Liberation Serif" w:cs="Liberation Serif"/>
      <w:color w:val="000000"/>
      <w:sz w:val="16"/>
    </w:rPr>
  </w:style>
  <w:style w:type="character" w:customStyle="1" w:styleId="142">
    <w:name w:val="footnote mark"/>
    <w:uiPriority w:val="0"/>
    <w:rPr>
      <w:rFonts w:ascii="Liberation Serif" w:hAnsi="Liberation Serif" w:eastAsia="Liberation Serif" w:cs="Liberation Serif"/>
      <w:color w:val="000000"/>
      <w:position w:val="0"/>
      <w:sz w:val="16"/>
      <w:vertAlign w:val="superscript"/>
    </w:rPr>
  </w:style>
  <w:style w:type="character" w:customStyle="1" w:styleId="143">
    <w:name w:val="ListLabel 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E65495-ED85-4F97-8E5A-99779ADB0704}">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135</Pages>
  <Words>40036</Words>
  <Characters>216198</Characters>
  <Lines>1801</Lines>
  <Paragraphs>511</Paragraphs>
  <TotalTime>50</TotalTime>
  <ScaleCrop>false</ScaleCrop>
  <LinksUpToDate>false</LinksUpToDate>
  <CharactersWithSpaces>255723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2026-01-08T12:19:00Z</dcterms:created>
  <dc:creator>Sabrina Guimarães</dc:creator>
  <cp:lastModifiedBy>licitacao04</cp:lastModifiedBy>
  <cp:lastPrinted>2025-09-18T12:50:00Z</cp:lastPrinted>
  <dcterms:modified xsi:type="dcterms:W3CDTF">2026-02-04T19:45:26Z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58CD2749E6CC49569365321242DA7EAC_13</vt:lpwstr>
  </property>
</Properties>
</file>